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0A7A" w:rsidRPr="006B0A7A" w:rsidRDefault="006B0A7A" w:rsidP="006B0A7A">
      <w:pPr>
        <w:shd w:val="clear" w:color="auto" w:fill="FFFFFF"/>
        <w:spacing w:after="0" w:line="240" w:lineRule="atLeast"/>
        <w:outlineLvl w:val="4"/>
        <w:rPr>
          <w:rFonts w:ascii="Open sans" w:eastAsia="Times New Roman" w:hAnsi="Open sans" w:cs="Tahoma"/>
          <w:b/>
          <w:bCs/>
          <w:caps/>
          <w:color w:val="3F3F3F"/>
          <w:sz w:val="24"/>
          <w:szCs w:val="24"/>
        </w:rPr>
      </w:pPr>
      <w:r w:rsidRPr="006B0A7A">
        <w:rPr>
          <w:rFonts w:ascii="Open sans" w:eastAsia="Times New Roman" w:hAnsi="Open sans" w:cs="Tahoma"/>
          <w:b/>
          <w:bCs/>
          <w:caps/>
          <w:color w:val="3F3F3F"/>
          <w:sz w:val="24"/>
          <w:szCs w:val="24"/>
        </w:rPr>
        <w:t>Was ist TISA?</w:t>
      </w:r>
    </w:p>
    <w:p w:rsidR="006B0A7A" w:rsidRPr="006B0A7A" w:rsidRDefault="006B0A7A" w:rsidP="006B0A7A">
      <w:pPr>
        <w:shd w:val="clear" w:color="auto" w:fill="FFFFFF"/>
        <w:spacing w:after="180" w:line="270" w:lineRule="atLeast"/>
        <w:rPr>
          <w:rFonts w:ascii="Tahoma" w:eastAsia="Times New Roman" w:hAnsi="Tahoma" w:cs="Tahoma"/>
          <w:color w:val="3F3F3F"/>
          <w:sz w:val="21"/>
          <w:szCs w:val="21"/>
        </w:rPr>
      </w:pPr>
      <w:proofErr w:type="spellStart"/>
      <w:r w:rsidRPr="006B0A7A">
        <w:rPr>
          <w:rFonts w:ascii="Tahoma" w:eastAsia="Times New Roman" w:hAnsi="Tahoma" w:cs="Tahoma"/>
          <w:color w:val="3F3F3F"/>
          <w:sz w:val="21"/>
          <w:szCs w:val="21"/>
        </w:rPr>
        <w:t>TiSA</w:t>
      </w:r>
      <w:proofErr w:type="spellEnd"/>
      <w:r w:rsidRPr="006B0A7A">
        <w:rPr>
          <w:rFonts w:ascii="Tahoma" w:eastAsia="Times New Roman" w:hAnsi="Tahoma" w:cs="Tahoma"/>
          <w:color w:val="3F3F3F"/>
          <w:sz w:val="21"/>
          <w:szCs w:val="21"/>
        </w:rPr>
        <w:t> (</w:t>
      </w:r>
      <w:r w:rsidRPr="006B0A7A">
        <w:rPr>
          <w:rFonts w:ascii="Tahoma" w:eastAsia="Times New Roman" w:hAnsi="Tahoma" w:cs="Tahoma"/>
          <w:b/>
          <w:color w:val="3F3F3F"/>
          <w:sz w:val="21"/>
          <w:szCs w:val="21"/>
        </w:rPr>
        <w:t>T</w:t>
      </w:r>
      <w:r w:rsidRPr="006B0A7A">
        <w:rPr>
          <w:rFonts w:ascii="Tahoma" w:eastAsia="Times New Roman" w:hAnsi="Tahoma" w:cs="Tahoma"/>
          <w:color w:val="3F3F3F"/>
          <w:sz w:val="21"/>
          <w:szCs w:val="21"/>
        </w:rPr>
        <w:t xml:space="preserve">rade in </w:t>
      </w:r>
      <w:r w:rsidRPr="006B0A7A">
        <w:rPr>
          <w:rFonts w:ascii="Tahoma" w:eastAsia="Times New Roman" w:hAnsi="Tahoma" w:cs="Tahoma"/>
          <w:b/>
          <w:color w:val="3F3F3F"/>
          <w:sz w:val="21"/>
          <w:szCs w:val="21"/>
        </w:rPr>
        <w:t>S</w:t>
      </w:r>
      <w:r w:rsidRPr="006B0A7A">
        <w:rPr>
          <w:rFonts w:ascii="Tahoma" w:eastAsia="Times New Roman" w:hAnsi="Tahoma" w:cs="Tahoma"/>
          <w:color w:val="3F3F3F"/>
          <w:sz w:val="21"/>
          <w:szCs w:val="21"/>
        </w:rPr>
        <w:t xml:space="preserve">ervices </w:t>
      </w:r>
      <w:r w:rsidRPr="006B0A7A">
        <w:rPr>
          <w:rFonts w:ascii="Tahoma" w:eastAsia="Times New Roman" w:hAnsi="Tahoma" w:cs="Tahoma"/>
          <w:b/>
          <w:color w:val="3F3F3F"/>
          <w:sz w:val="21"/>
          <w:szCs w:val="21"/>
        </w:rPr>
        <w:t>A</w:t>
      </w:r>
      <w:r w:rsidRPr="006B0A7A">
        <w:rPr>
          <w:rFonts w:ascii="Tahoma" w:eastAsia="Times New Roman" w:hAnsi="Tahoma" w:cs="Tahoma"/>
          <w:color w:val="3F3F3F"/>
          <w:sz w:val="21"/>
          <w:szCs w:val="21"/>
        </w:rPr>
        <w:t xml:space="preserve">greement) ist ein Abkommen zur Liberalisierung des Handels mit </w:t>
      </w:r>
      <w:r w:rsidRPr="006B0A7A">
        <w:rPr>
          <w:rFonts w:ascii="Tahoma" w:eastAsia="Times New Roman" w:hAnsi="Tahoma" w:cs="Tahoma"/>
          <w:b/>
          <w:iCs/>
          <w:color w:val="3F3F3F"/>
          <w:sz w:val="21"/>
          <w:szCs w:val="21"/>
        </w:rPr>
        <w:t>Dienstleistungen</w:t>
      </w:r>
      <w:r w:rsidRPr="006B0A7A">
        <w:rPr>
          <w:rFonts w:ascii="Tahoma" w:eastAsia="Times New Roman" w:hAnsi="Tahoma" w:cs="Tahoma"/>
          <w:i/>
          <w:iCs/>
          <w:color w:val="3F3F3F"/>
          <w:sz w:val="21"/>
          <w:szCs w:val="21"/>
        </w:rPr>
        <w:t xml:space="preserve"> </w:t>
      </w:r>
      <w:r w:rsidRPr="006B0A7A">
        <w:rPr>
          <w:rFonts w:ascii="Tahoma" w:eastAsia="Times New Roman" w:hAnsi="Tahoma" w:cs="Tahoma"/>
          <w:color w:val="3F3F3F"/>
          <w:sz w:val="21"/>
          <w:szCs w:val="21"/>
        </w:rPr>
        <w:t xml:space="preserve">zwischen 23 Staaten, das seit April 2013 verhandelt wird. Für die EU-Mitgliedstaaten führt die Europäische Kommission die Verhandlungen. Die Treffen finden in der australischen UN-Botschaft in Genf statt. Den Vorsitz führen abwechselnd die EU, Australien und die USA. Durch </w:t>
      </w:r>
      <w:proofErr w:type="spellStart"/>
      <w:r w:rsidRPr="006B0A7A">
        <w:rPr>
          <w:rFonts w:ascii="Tahoma" w:eastAsia="Times New Roman" w:hAnsi="Tahoma" w:cs="Tahoma"/>
          <w:color w:val="3F3F3F"/>
          <w:sz w:val="21"/>
          <w:szCs w:val="21"/>
        </w:rPr>
        <w:t>TiSA</w:t>
      </w:r>
      <w:proofErr w:type="spellEnd"/>
      <w:r w:rsidRPr="006B0A7A">
        <w:rPr>
          <w:rFonts w:ascii="Tahoma" w:eastAsia="Times New Roman" w:hAnsi="Tahoma" w:cs="Tahoma"/>
          <w:color w:val="3F3F3F"/>
          <w:sz w:val="21"/>
          <w:szCs w:val="21"/>
        </w:rPr>
        <w:t xml:space="preserve"> sollen nationale Dienstleistungsmärkte</w:t>
      </w:r>
      <w:r w:rsidRPr="006B0A7A">
        <w:rPr>
          <w:rFonts w:ascii="Tahoma" w:eastAsia="Times New Roman" w:hAnsi="Tahoma" w:cs="Tahoma"/>
          <w:i/>
          <w:iCs/>
          <w:color w:val="3F3F3F"/>
          <w:sz w:val="21"/>
          <w:szCs w:val="21"/>
        </w:rPr>
        <w:t> </w:t>
      </w:r>
      <w:r w:rsidRPr="006B0A7A">
        <w:rPr>
          <w:rFonts w:ascii="Tahoma" w:eastAsia="Times New Roman" w:hAnsi="Tahoma" w:cs="Tahoma"/>
          <w:color w:val="3F3F3F"/>
          <w:sz w:val="21"/>
          <w:szCs w:val="21"/>
        </w:rPr>
        <w:t>– auch öffentliche Dienstleistungen wie z.B. Bildung, Post, Abfallentsorgung, Nahverkehr, Elektrizität, Spitäler, aber auch Dienstleitungen im Bereich Datenschutz – für ausländische Konzerne geöffnet werden. </w:t>
      </w:r>
    </w:p>
    <w:p w:rsidR="006B0A7A" w:rsidRPr="006B0A7A" w:rsidRDefault="006B0A7A" w:rsidP="006B0A7A">
      <w:pPr>
        <w:shd w:val="clear" w:color="auto" w:fill="FFFFFF"/>
        <w:spacing w:after="0" w:line="240" w:lineRule="atLeast"/>
        <w:outlineLvl w:val="4"/>
        <w:rPr>
          <w:rFonts w:ascii="Open sans" w:eastAsia="Times New Roman" w:hAnsi="Open sans" w:cs="Tahoma"/>
          <w:b/>
          <w:bCs/>
          <w:caps/>
          <w:color w:val="3F3F3F"/>
          <w:sz w:val="24"/>
          <w:szCs w:val="24"/>
        </w:rPr>
      </w:pPr>
      <w:r w:rsidRPr="006B0A7A">
        <w:rPr>
          <w:rFonts w:ascii="Open sans" w:eastAsia="Times New Roman" w:hAnsi="Open sans" w:cs="Tahoma"/>
          <w:b/>
          <w:bCs/>
          <w:caps/>
          <w:color w:val="3F3F3F"/>
          <w:sz w:val="24"/>
          <w:szCs w:val="24"/>
        </w:rPr>
        <w:t>Wo liegen die Gefahren?</w:t>
      </w:r>
    </w:p>
    <w:p w:rsidR="006B0A7A" w:rsidRPr="006B0A7A" w:rsidRDefault="006B0A7A" w:rsidP="006B0A7A">
      <w:pPr>
        <w:shd w:val="clear" w:color="auto" w:fill="FFFFFF"/>
        <w:spacing w:after="180" w:line="270" w:lineRule="atLeast"/>
        <w:rPr>
          <w:rFonts w:ascii="Tahoma" w:eastAsia="Times New Roman" w:hAnsi="Tahoma" w:cs="Tahoma"/>
          <w:b/>
          <w:color w:val="3F3F3F"/>
          <w:sz w:val="21"/>
          <w:szCs w:val="21"/>
        </w:rPr>
      </w:pPr>
      <w:r w:rsidRPr="006B0A7A">
        <w:rPr>
          <w:rFonts w:ascii="Tahoma" w:eastAsia="Times New Roman" w:hAnsi="Tahoma" w:cs="Tahoma"/>
          <w:color w:val="3F3F3F"/>
          <w:sz w:val="21"/>
          <w:szCs w:val="21"/>
        </w:rPr>
        <w:t xml:space="preserve">Die Verhandlungen werden hinter verschlossenen Türen geführt. Und wie schon bei TTIP und CETA droht die (weitere) </w:t>
      </w:r>
      <w:r w:rsidRPr="006B0A7A">
        <w:rPr>
          <w:rFonts w:ascii="Tahoma" w:eastAsia="Times New Roman" w:hAnsi="Tahoma" w:cs="Tahoma"/>
          <w:b/>
          <w:bCs/>
          <w:color w:val="3F3F3F"/>
          <w:sz w:val="21"/>
          <w:szCs w:val="21"/>
        </w:rPr>
        <w:t>Liberalisierung und Privatisierung</w:t>
      </w:r>
      <w:r w:rsidRPr="006B0A7A">
        <w:rPr>
          <w:rFonts w:ascii="Tahoma" w:eastAsia="Times New Roman" w:hAnsi="Tahoma" w:cs="Tahoma"/>
          <w:color w:val="3F3F3F"/>
          <w:sz w:val="21"/>
          <w:szCs w:val="21"/>
        </w:rPr>
        <w:t xml:space="preserve"> von </w:t>
      </w:r>
      <w:hyperlink r:id="rId6" w:tgtFrame="_blank" w:history="1">
        <w:r w:rsidRPr="006B0A7A">
          <w:rPr>
            <w:rFonts w:ascii="Tahoma" w:eastAsia="Times New Roman" w:hAnsi="Tahoma" w:cs="Tahoma"/>
            <w:b/>
            <w:sz w:val="21"/>
            <w:szCs w:val="21"/>
          </w:rPr>
          <w:t>​Wasser</w:t>
        </w:r>
      </w:hyperlink>
      <w:r w:rsidRPr="006B0A7A">
        <w:rPr>
          <w:rFonts w:ascii="Tahoma" w:eastAsia="Times New Roman" w:hAnsi="Tahoma" w:cs="Tahoma"/>
          <w:b/>
          <w:sz w:val="21"/>
          <w:szCs w:val="21"/>
        </w:rPr>
        <w:t xml:space="preserve">, </w:t>
      </w:r>
      <w:r w:rsidRPr="006B0A7A">
        <w:rPr>
          <w:rFonts w:ascii="Tahoma" w:eastAsia="Times New Roman" w:hAnsi="Tahoma" w:cs="Tahoma"/>
          <w:b/>
          <w:color w:val="3F3F3F"/>
          <w:sz w:val="21"/>
          <w:szCs w:val="21"/>
        </w:rPr>
        <w:t>Abfallentsorgung, Stromversorgung, Bildung, im Gesundheitswesen, dem öffentlichen Nahverkehr, Versicherung, Telekommunikation, Post, digitalem Handel und im Finanzbereich.</w:t>
      </w:r>
    </w:p>
    <w:p w:rsidR="006B0A7A" w:rsidRPr="006B0A7A" w:rsidRDefault="006B0A7A" w:rsidP="006B0A7A">
      <w:pPr>
        <w:shd w:val="clear" w:color="auto" w:fill="FFFFFF"/>
        <w:spacing w:after="180" w:line="270" w:lineRule="atLeast"/>
        <w:rPr>
          <w:rFonts w:ascii="Tahoma" w:eastAsia="Times New Roman" w:hAnsi="Tahoma" w:cs="Tahoma"/>
          <w:color w:val="3F3F3F"/>
          <w:sz w:val="21"/>
          <w:szCs w:val="21"/>
        </w:rPr>
      </w:pPr>
      <w:r w:rsidRPr="006B0A7A">
        <w:rPr>
          <w:rFonts w:ascii="Tahoma" w:eastAsia="Times New Roman" w:hAnsi="Tahoma" w:cs="Tahoma"/>
          <w:color w:val="3F3F3F"/>
          <w:sz w:val="21"/>
          <w:szCs w:val="21"/>
        </w:rPr>
        <w:t xml:space="preserve">Auch Dienstleistungen in den Bereichen Energie und Umwelt sind betroffen. Unzählige Beispiele aus der Vergangenheit belegen die großen Gefahren hinter der Öffnung von Dienstleistungsmärkten: </w:t>
      </w:r>
    </w:p>
    <w:p w:rsidR="006B0A7A" w:rsidRPr="006B0A7A" w:rsidRDefault="006B0A7A" w:rsidP="006B0A7A">
      <w:pPr>
        <w:numPr>
          <w:ilvl w:val="0"/>
          <w:numId w:val="1"/>
        </w:numPr>
        <w:shd w:val="clear" w:color="auto" w:fill="FFFFFF"/>
        <w:spacing w:before="100" w:beforeAutospacing="1" w:after="100" w:afterAutospacing="1" w:line="270" w:lineRule="atLeast"/>
        <w:ind w:left="270"/>
        <w:rPr>
          <w:rFonts w:ascii="Tahoma" w:eastAsia="Times New Roman" w:hAnsi="Tahoma" w:cs="Tahoma"/>
          <w:color w:val="3F3F3F"/>
          <w:sz w:val="21"/>
          <w:szCs w:val="21"/>
        </w:rPr>
      </w:pPr>
      <w:r w:rsidRPr="006B0A7A">
        <w:rPr>
          <w:rFonts w:ascii="Tahoma" w:eastAsia="Times New Roman" w:hAnsi="Tahoma" w:cs="Tahoma"/>
          <w:b/>
          <w:bCs/>
          <w:color w:val="3F3F3F"/>
          <w:sz w:val="21"/>
          <w:szCs w:val="21"/>
        </w:rPr>
        <w:t>Verlust der Qualität von Dienstleistungen</w:t>
      </w:r>
    </w:p>
    <w:p w:rsidR="006B0A7A" w:rsidRPr="006B0A7A" w:rsidRDefault="006B0A7A" w:rsidP="006B0A7A">
      <w:pPr>
        <w:numPr>
          <w:ilvl w:val="0"/>
          <w:numId w:val="1"/>
        </w:numPr>
        <w:shd w:val="clear" w:color="auto" w:fill="FFFFFF"/>
        <w:spacing w:before="100" w:beforeAutospacing="1" w:after="100" w:afterAutospacing="1" w:line="270" w:lineRule="atLeast"/>
        <w:ind w:left="270"/>
        <w:rPr>
          <w:rFonts w:ascii="Tahoma" w:eastAsia="Times New Roman" w:hAnsi="Tahoma" w:cs="Tahoma"/>
          <w:color w:val="3F3F3F"/>
          <w:sz w:val="21"/>
          <w:szCs w:val="21"/>
        </w:rPr>
      </w:pPr>
      <w:r w:rsidRPr="006B0A7A">
        <w:rPr>
          <w:rFonts w:ascii="Tahoma" w:eastAsia="Times New Roman" w:hAnsi="Tahoma" w:cs="Tahoma"/>
          <w:b/>
          <w:bCs/>
          <w:color w:val="3F3F3F"/>
          <w:sz w:val="21"/>
          <w:szCs w:val="21"/>
        </w:rPr>
        <w:t>Abnahme der Versorgungssicherheit für BürgerInnen</w:t>
      </w:r>
    </w:p>
    <w:p w:rsidR="006B0A7A" w:rsidRPr="006B0A7A" w:rsidRDefault="006B0A7A" w:rsidP="006B0A7A">
      <w:pPr>
        <w:numPr>
          <w:ilvl w:val="0"/>
          <w:numId w:val="1"/>
        </w:numPr>
        <w:shd w:val="clear" w:color="auto" w:fill="FFFFFF"/>
        <w:spacing w:before="100" w:beforeAutospacing="1" w:after="100" w:afterAutospacing="1" w:line="270" w:lineRule="atLeast"/>
        <w:ind w:left="270"/>
        <w:rPr>
          <w:rFonts w:ascii="Tahoma" w:eastAsia="Times New Roman" w:hAnsi="Tahoma" w:cs="Tahoma"/>
          <w:color w:val="3F3F3F"/>
          <w:sz w:val="21"/>
          <w:szCs w:val="21"/>
        </w:rPr>
      </w:pPr>
      <w:r w:rsidRPr="006B0A7A">
        <w:rPr>
          <w:rFonts w:ascii="Tahoma" w:eastAsia="Times New Roman" w:hAnsi="Tahoma" w:cs="Tahoma"/>
          <w:b/>
          <w:bCs/>
          <w:color w:val="3F3F3F"/>
          <w:sz w:val="21"/>
          <w:szCs w:val="21"/>
        </w:rPr>
        <w:t>Unternehmen unterlassen erforderliche Investitionen</w:t>
      </w:r>
    </w:p>
    <w:p w:rsidR="006B0A7A" w:rsidRPr="006B0A7A" w:rsidRDefault="006B0A7A" w:rsidP="006B0A7A">
      <w:pPr>
        <w:numPr>
          <w:ilvl w:val="0"/>
          <w:numId w:val="1"/>
        </w:numPr>
        <w:shd w:val="clear" w:color="auto" w:fill="FFFFFF"/>
        <w:spacing w:before="100" w:beforeAutospacing="1" w:after="100" w:afterAutospacing="1" w:line="270" w:lineRule="atLeast"/>
        <w:ind w:left="270"/>
        <w:rPr>
          <w:rFonts w:ascii="Tahoma" w:eastAsia="Times New Roman" w:hAnsi="Tahoma" w:cs="Tahoma"/>
          <w:color w:val="3F3F3F"/>
          <w:sz w:val="21"/>
          <w:szCs w:val="21"/>
        </w:rPr>
      </w:pPr>
      <w:r w:rsidRPr="006B0A7A">
        <w:rPr>
          <w:rFonts w:ascii="Tahoma" w:eastAsia="Times New Roman" w:hAnsi="Tahoma" w:cs="Tahoma"/>
          <w:b/>
          <w:bCs/>
          <w:color w:val="3F3F3F"/>
          <w:sz w:val="21"/>
          <w:szCs w:val="21"/>
        </w:rPr>
        <w:t>ausländische Firmen dürfen einen Staat wegen Umsatzausfall verklagen</w:t>
      </w:r>
    </w:p>
    <w:p w:rsidR="006B0A7A" w:rsidRPr="006B0A7A" w:rsidRDefault="006B0A7A" w:rsidP="006B0A7A">
      <w:pPr>
        <w:numPr>
          <w:ilvl w:val="0"/>
          <w:numId w:val="1"/>
        </w:numPr>
        <w:shd w:val="clear" w:color="auto" w:fill="FFFFFF"/>
        <w:spacing w:before="100" w:beforeAutospacing="1" w:after="100" w:afterAutospacing="1" w:line="270" w:lineRule="atLeast"/>
        <w:ind w:left="270"/>
        <w:rPr>
          <w:rFonts w:ascii="Tahoma" w:eastAsia="Times New Roman" w:hAnsi="Tahoma" w:cs="Tahoma"/>
          <w:color w:val="3F3F3F"/>
          <w:sz w:val="21"/>
          <w:szCs w:val="21"/>
        </w:rPr>
      </w:pPr>
      <w:r w:rsidRPr="006B0A7A">
        <w:rPr>
          <w:rFonts w:ascii="Tahoma" w:eastAsia="Times New Roman" w:hAnsi="Tahoma" w:cs="Tahoma"/>
          <w:b/>
          <w:bCs/>
          <w:color w:val="3F3F3F"/>
          <w:sz w:val="21"/>
          <w:szCs w:val="21"/>
        </w:rPr>
        <w:t xml:space="preserve">niedrigere Löhne für </w:t>
      </w:r>
      <w:proofErr w:type="spellStart"/>
      <w:r w:rsidRPr="006B0A7A">
        <w:rPr>
          <w:rFonts w:ascii="Tahoma" w:eastAsia="Times New Roman" w:hAnsi="Tahoma" w:cs="Tahoma"/>
          <w:b/>
          <w:bCs/>
          <w:color w:val="3F3F3F"/>
          <w:sz w:val="21"/>
          <w:szCs w:val="21"/>
        </w:rPr>
        <w:t>ArbeitnehmerInnen</w:t>
      </w:r>
      <w:proofErr w:type="spellEnd"/>
    </w:p>
    <w:p w:rsidR="006B0A7A" w:rsidRPr="006B0A7A" w:rsidRDefault="006B0A7A" w:rsidP="006B0A7A">
      <w:pPr>
        <w:numPr>
          <w:ilvl w:val="0"/>
          <w:numId w:val="1"/>
        </w:numPr>
        <w:shd w:val="clear" w:color="auto" w:fill="FFFFFF"/>
        <w:spacing w:before="100" w:beforeAutospacing="1" w:after="100" w:afterAutospacing="1" w:line="270" w:lineRule="atLeast"/>
        <w:ind w:left="270"/>
        <w:rPr>
          <w:rFonts w:ascii="Tahoma" w:eastAsia="Times New Roman" w:hAnsi="Tahoma" w:cs="Tahoma"/>
          <w:color w:val="3F3F3F"/>
          <w:sz w:val="21"/>
          <w:szCs w:val="21"/>
        </w:rPr>
      </w:pPr>
      <w:r w:rsidRPr="006B0A7A">
        <w:rPr>
          <w:rFonts w:ascii="Tahoma" w:eastAsia="Times New Roman" w:hAnsi="Tahoma" w:cs="Tahoma"/>
          <w:b/>
          <w:bCs/>
          <w:color w:val="3F3F3F"/>
          <w:sz w:val="21"/>
          <w:szCs w:val="21"/>
        </w:rPr>
        <w:t>teilweise auch höhere Preise für Dienstleistungen </w:t>
      </w:r>
    </w:p>
    <w:p w:rsidR="006B0A7A" w:rsidRPr="006B0A7A" w:rsidRDefault="006B0A7A" w:rsidP="006B0A7A">
      <w:pPr>
        <w:shd w:val="clear" w:color="auto" w:fill="FFFFFF"/>
        <w:spacing w:after="180" w:line="270" w:lineRule="atLeast"/>
        <w:rPr>
          <w:rFonts w:ascii="Tahoma" w:eastAsia="Times New Roman" w:hAnsi="Tahoma" w:cs="Tahoma"/>
          <w:color w:val="3F3F3F"/>
          <w:sz w:val="21"/>
          <w:szCs w:val="21"/>
        </w:rPr>
      </w:pPr>
      <w:r w:rsidRPr="006B0A7A">
        <w:rPr>
          <w:rFonts w:ascii="Tahoma" w:eastAsia="Times New Roman" w:hAnsi="Tahoma" w:cs="Tahoma"/>
          <w:color w:val="3F3F3F"/>
          <w:sz w:val="21"/>
          <w:szCs w:val="21"/>
        </w:rPr>
        <w:t xml:space="preserve">Eine weitere Gefahr birgt </w:t>
      </w:r>
      <w:proofErr w:type="spellStart"/>
      <w:r w:rsidRPr="006B0A7A">
        <w:rPr>
          <w:rFonts w:ascii="Tahoma" w:eastAsia="Times New Roman" w:hAnsi="Tahoma" w:cs="Tahoma"/>
          <w:color w:val="3F3F3F"/>
          <w:sz w:val="21"/>
          <w:szCs w:val="21"/>
        </w:rPr>
        <w:t>TiSa</w:t>
      </w:r>
      <w:proofErr w:type="spellEnd"/>
      <w:r w:rsidRPr="006B0A7A">
        <w:rPr>
          <w:rFonts w:ascii="Tahoma" w:eastAsia="Times New Roman" w:hAnsi="Tahoma" w:cs="Tahoma"/>
          <w:color w:val="3F3F3F"/>
          <w:sz w:val="21"/>
          <w:szCs w:val="21"/>
        </w:rPr>
        <w:t xml:space="preserve"> für die </w:t>
      </w:r>
      <w:proofErr w:type="spellStart"/>
      <w:r w:rsidRPr="006B0A7A">
        <w:rPr>
          <w:rFonts w:ascii="Tahoma" w:eastAsia="Times New Roman" w:hAnsi="Tahoma" w:cs="Tahoma"/>
          <w:color w:val="3F3F3F"/>
          <w:sz w:val="21"/>
          <w:szCs w:val="21"/>
        </w:rPr>
        <w:t>Rekommunalisierung</w:t>
      </w:r>
      <w:proofErr w:type="spellEnd"/>
      <w:r w:rsidRPr="006B0A7A">
        <w:rPr>
          <w:rFonts w:ascii="Tahoma" w:eastAsia="Times New Roman" w:hAnsi="Tahoma" w:cs="Tahoma"/>
          <w:color w:val="3F3F3F"/>
          <w:sz w:val="21"/>
          <w:szCs w:val="21"/>
        </w:rPr>
        <w:t>, also das Rückgängigmachen von privatisierten Dienstleistungen. Würde TISA beschlossen, wäre es unmöglich, beispielsweise die Privatisierung von Wasser wieder rückgängig zu machen. </w:t>
      </w:r>
    </w:p>
    <w:p w:rsidR="006B0A7A" w:rsidRPr="006B0A7A" w:rsidRDefault="006B0A7A" w:rsidP="006B0A7A">
      <w:pPr>
        <w:shd w:val="clear" w:color="auto" w:fill="FFFFFF"/>
        <w:spacing w:after="180" w:line="270" w:lineRule="atLeast"/>
        <w:rPr>
          <w:rFonts w:ascii="Tahoma" w:eastAsia="Times New Roman" w:hAnsi="Tahoma" w:cs="Tahoma"/>
          <w:color w:val="3F3F3F"/>
          <w:sz w:val="21"/>
          <w:szCs w:val="21"/>
        </w:rPr>
      </w:pPr>
      <w:r w:rsidRPr="006B0A7A">
        <w:rPr>
          <w:rFonts w:ascii="Tahoma" w:eastAsia="Times New Roman" w:hAnsi="Tahoma" w:cs="Tahoma"/>
          <w:b/>
          <w:bCs/>
          <w:color w:val="3F3F3F"/>
          <w:sz w:val="21"/>
          <w:szCs w:val="21"/>
        </w:rPr>
        <w:t>Beispiel Paris:</w:t>
      </w:r>
      <w:r w:rsidRPr="006B0A7A">
        <w:rPr>
          <w:rFonts w:ascii="Tahoma" w:eastAsia="Times New Roman" w:hAnsi="Tahoma" w:cs="Tahoma"/>
          <w:color w:val="3F3F3F"/>
          <w:sz w:val="21"/>
          <w:szCs w:val="21"/>
        </w:rPr>
        <w:t xml:space="preserve"> Dort wurde die Wasserversorgung privatisiert, enorme Preissteigerungen von Wasser waren die Folge. 2010 entschied man sich infolgedessen, die örtliche Wasserversorgung wieder der Pariser Verwaltung zurückzugeben. Der Wasserpreis sank. Aber: Hätte es </w:t>
      </w:r>
      <w:proofErr w:type="spellStart"/>
      <w:r w:rsidRPr="006B0A7A">
        <w:rPr>
          <w:rFonts w:ascii="Tahoma" w:eastAsia="Times New Roman" w:hAnsi="Tahoma" w:cs="Tahoma"/>
          <w:color w:val="3F3F3F"/>
          <w:sz w:val="21"/>
          <w:szCs w:val="21"/>
        </w:rPr>
        <w:t>TiSA</w:t>
      </w:r>
      <w:proofErr w:type="spellEnd"/>
      <w:r w:rsidRPr="006B0A7A">
        <w:rPr>
          <w:rFonts w:ascii="Tahoma" w:eastAsia="Times New Roman" w:hAnsi="Tahoma" w:cs="Tahoma"/>
          <w:color w:val="3F3F3F"/>
          <w:sz w:val="21"/>
          <w:szCs w:val="21"/>
        </w:rPr>
        <w:t xml:space="preserve"> bereits  2010 gegeben, wäre diese Praxis der </w:t>
      </w:r>
      <w:proofErr w:type="spellStart"/>
      <w:r w:rsidRPr="006B0A7A">
        <w:rPr>
          <w:rFonts w:ascii="Tahoma" w:eastAsia="Times New Roman" w:hAnsi="Tahoma" w:cs="Tahoma"/>
          <w:color w:val="3F3F3F"/>
          <w:sz w:val="21"/>
          <w:szCs w:val="21"/>
        </w:rPr>
        <w:t>Rekommunalisierung</w:t>
      </w:r>
      <w:proofErr w:type="spellEnd"/>
      <w:r w:rsidRPr="006B0A7A">
        <w:rPr>
          <w:rFonts w:ascii="Tahoma" w:eastAsia="Times New Roman" w:hAnsi="Tahoma" w:cs="Tahoma"/>
          <w:color w:val="3F3F3F"/>
          <w:sz w:val="21"/>
          <w:szCs w:val="21"/>
        </w:rPr>
        <w:t xml:space="preserve"> nicht erlaubt gewesen.</w:t>
      </w:r>
    </w:p>
    <w:p w:rsidR="006B0A7A" w:rsidRPr="006B0A7A" w:rsidRDefault="006B0A7A" w:rsidP="006B0A7A">
      <w:pPr>
        <w:shd w:val="clear" w:color="auto" w:fill="FFFFFF"/>
        <w:spacing w:after="0" w:line="240" w:lineRule="atLeast"/>
        <w:outlineLvl w:val="4"/>
        <w:rPr>
          <w:rFonts w:ascii="Open sans" w:eastAsia="Times New Roman" w:hAnsi="Open sans" w:cs="Tahoma"/>
          <w:b/>
          <w:bCs/>
          <w:caps/>
          <w:color w:val="3F3F3F"/>
          <w:sz w:val="24"/>
          <w:szCs w:val="24"/>
        </w:rPr>
      </w:pPr>
      <w:r w:rsidRPr="006B0A7A">
        <w:rPr>
          <w:rFonts w:ascii="Open sans" w:eastAsia="Times New Roman" w:hAnsi="Open sans" w:cs="Tahoma"/>
          <w:b/>
          <w:bCs/>
          <w:caps/>
          <w:color w:val="3F3F3F"/>
          <w:sz w:val="24"/>
          <w:szCs w:val="24"/>
        </w:rPr>
        <w:t>WELCHE LÄNDER VERHANDELN TISA?</w:t>
      </w:r>
    </w:p>
    <w:p w:rsidR="006B0A7A" w:rsidRPr="006B0A7A" w:rsidRDefault="006B0A7A" w:rsidP="006B0A7A">
      <w:pPr>
        <w:shd w:val="clear" w:color="auto" w:fill="FFFFFF"/>
        <w:spacing w:after="180" w:line="270" w:lineRule="atLeast"/>
        <w:rPr>
          <w:rFonts w:ascii="Tahoma" w:eastAsia="Times New Roman" w:hAnsi="Tahoma" w:cs="Tahoma"/>
          <w:color w:val="3F3F3F"/>
          <w:sz w:val="21"/>
          <w:szCs w:val="21"/>
        </w:rPr>
      </w:pPr>
      <w:r w:rsidRPr="006B0A7A">
        <w:rPr>
          <w:rFonts w:ascii="Tahoma" w:eastAsia="Times New Roman" w:hAnsi="Tahoma" w:cs="Tahoma"/>
          <w:color w:val="3F3F3F"/>
          <w:sz w:val="21"/>
          <w:szCs w:val="21"/>
        </w:rPr>
        <w:t xml:space="preserve">An den Gesprächen zu </w:t>
      </w:r>
      <w:proofErr w:type="spellStart"/>
      <w:r w:rsidRPr="006B0A7A">
        <w:rPr>
          <w:rFonts w:ascii="Tahoma" w:eastAsia="Times New Roman" w:hAnsi="Tahoma" w:cs="Tahoma"/>
          <w:color w:val="3F3F3F"/>
          <w:sz w:val="21"/>
          <w:szCs w:val="21"/>
        </w:rPr>
        <w:t>TiSA</w:t>
      </w:r>
      <w:proofErr w:type="spellEnd"/>
      <w:r w:rsidRPr="006B0A7A">
        <w:rPr>
          <w:rFonts w:ascii="Tahoma" w:eastAsia="Times New Roman" w:hAnsi="Tahoma" w:cs="Tahoma"/>
          <w:color w:val="3F3F3F"/>
          <w:sz w:val="21"/>
          <w:szCs w:val="21"/>
        </w:rPr>
        <w:t>, ursprünglich ein Vorschlag der USA, nehmen 23 WTO-Mitglieder teil, die gemeinsam für 70 % des weltweiten Handels mit Dienstleistungen verantwortlich sind – und die sich selbst „</w:t>
      </w:r>
      <w:proofErr w:type="spellStart"/>
      <w:r w:rsidRPr="006B0A7A">
        <w:rPr>
          <w:rFonts w:ascii="Tahoma" w:eastAsia="Times New Roman" w:hAnsi="Tahoma" w:cs="Tahoma"/>
          <w:color w:val="3F3F3F"/>
          <w:sz w:val="21"/>
          <w:szCs w:val="21"/>
        </w:rPr>
        <w:t>Really</w:t>
      </w:r>
      <w:proofErr w:type="spellEnd"/>
      <w:r w:rsidRPr="006B0A7A">
        <w:rPr>
          <w:rFonts w:ascii="Tahoma" w:eastAsia="Times New Roman" w:hAnsi="Tahoma" w:cs="Tahoma"/>
          <w:color w:val="3F3F3F"/>
          <w:sz w:val="21"/>
          <w:szCs w:val="21"/>
        </w:rPr>
        <w:t xml:space="preserve"> Good </w:t>
      </w:r>
      <w:proofErr w:type="spellStart"/>
      <w:r w:rsidRPr="006B0A7A">
        <w:rPr>
          <w:rFonts w:ascii="Tahoma" w:eastAsia="Times New Roman" w:hAnsi="Tahoma" w:cs="Tahoma"/>
          <w:color w:val="3F3F3F"/>
          <w:sz w:val="21"/>
          <w:szCs w:val="21"/>
        </w:rPr>
        <w:t>Friends</w:t>
      </w:r>
      <w:proofErr w:type="spellEnd"/>
      <w:r w:rsidRPr="006B0A7A">
        <w:rPr>
          <w:rFonts w:ascii="Tahoma" w:eastAsia="Times New Roman" w:hAnsi="Tahoma" w:cs="Tahoma"/>
          <w:color w:val="3F3F3F"/>
          <w:sz w:val="21"/>
          <w:szCs w:val="21"/>
        </w:rPr>
        <w:t xml:space="preserve"> </w:t>
      </w:r>
      <w:proofErr w:type="spellStart"/>
      <w:r w:rsidRPr="006B0A7A">
        <w:rPr>
          <w:rFonts w:ascii="Tahoma" w:eastAsia="Times New Roman" w:hAnsi="Tahoma" w:cs="Tahoma"/>
          <w:color w:val="3F3F3F"/>
          <w:sz w:val="21"/>
          <w:szCs w:val="21"/>
        </w:rPr>
        <w:t>of</w:t>
      </w:r>
      <w:proofErr w:type="spellEnd"/>
      <w:r w:rsidRPr="006B0A7A">
        <w:rPr>
          <w:rFonts w:ascii="Tahoma" w:eastAsia="Times New Roman" w:hAnsi="Tahoma" w:cs="Tahoma"/>
          <w:color w:val="3F3F3F"/>
          <w:sz w:val="21"/>
          <w:szCs w:val="21"/>
        </w:rPr>
        <w:t xml:space="preserve"> Services” nennen: Australien, Chile, Costa Rica, Europäische Union/EU (die als ein Mitglied zählt), Hongkong, Island, Israel, Japan, Kanada, Kolumbien, Korea, Mexiko, Neuseeland, Norwegen, Pakistan, Panama, Peru, Schweiz, Taiwan, Türkei, USA, Liechtenstein und Paraguay. Aber: Das Abkommen wird </w:t>
      </w:r>
      <w:r w:rsidRPr="006B0A7A">
        <w:rPr>
          <w:rFonts w:ascii="Tahoma" w:eastAsia="Times New Roman" w:hAnsi="Tahoma" w:cs="Tahoma"/>
          <w:i/>
          <w:iCs/>
          <w:color w:val="3F3F3F"/>
          <w:sz w:val="21"/>
          <w:szCs w:val="21"/>
        </w:rPr>
        <w:t xml:space="preserve">außerhalb </w:t>
      </w:r>
      <w:r w:rsidRPr="006B0A7A">
        <w:rPr>
          <w:rFonts w:ascii="Tahoma" w:eastAsia="Times New Roman" w:hAnsi="Tahoma" w:cs="Tahoma"/>
          <w:color w:val="3F3F3F"/>
          <w:sz w:val="21"/>
          <w:szCs w:val="21"/>
        </w:rPr>
        <w:t xml:space="preserve">der Welthandelsorganisation (WTO) verhandelt und ebnet somit den Weg für zukünftige </w:t>
      </w:r>
      <w:proofErr w:type="spellStart"/>
      <w:r w:rsidRPr="006B0A7A">
        <w:rPr>
          <w:rFonts w:ascii="Tahoma" w:eastAsia="Times New Roman" w:hAnsi="Tahoma" w:cs="Tahoma"/>
          <w:color w:val="3F3F3F"/>
          <w:sz w:val="21"/>
          <w:szCs w:val="21"/>
        </w:rPr>
        <w:t>plurilaterale</w:t>
      </w:r>
      <w:proofErr w:type="spellEnd"/>
      <w:r w:rsidRPr="006B0A7A">
        <w:rPr>
          <w:rFonts w:ascii="Tahoma" w:eastAsia="Times New Roman" w:hAnsi="Tahoma" w:cs="Tahoma"/>
          <w:color w:val="3F3F3F"/>
          <w:sz w:val="21"/>
          <w:szCs w:val="21"/>
        </w:rPr>
        <w:t xml:space="preserve"> (= begrenzte Mitgliederzahl) statt multilaterale (= unbegrenzte Mitgliederzahl) Abkommen.</w:t>
      </w:r>
    </w:p>
    <w:p w:rsidR="006B0A7A" w:rsidRPr="006B0A7A" w:rsidRDefault="006B0A7A" w:rsidP="006B0A7A">
      <w:pPr>
        <w:shd w:val="clear" w:color="auto" w:fill="FFFFFF"/>
        <w:spacing w:after="0" w:line="240" w:lineRule="atLeast"/>
        <w:rPr>
          <w:rFonts w:ascii="Tahoma" w:eastAsia="Times New Roman" w:hAnsi="Tahoma" w:cs="Tahoma"/>
          <w:color w:val="3F3F3F"/>
        </w:rPr>
      </w:pPr>
      <w:bookmarkStart w:id="0" w:name="_GoBack"/>
      <w:bookmarkEnd w:id="0"/>
    </w:p>
    <w:p w:rsidR="006B0A7A" w:rsidRPr="006B0A7A" w:rsidRDefault="006B0A7A" w:rsidP="006B0A7A">
      <w:pPr>
        <w:shd w:val="clear" w:color="auto" w:fill="FFFFFF"/>
        <w:spacing w:after="0" w:line="240" w:lineRule="atLeast"/>
        <w:outlineLvl w:val="4"/>
        <w:rPr>
          <w:rFonts w:ascii="Open sans" w:eastAsia="Times New Roman" w:hAnsi="Open sans" w:cs="Tahoma"/>
          <w:b/>
          <w:bCs/>
          <w:caps/>
          <w:color w:val="3F3F3F"/>
          <w:sz w:val="24"/>
          <w:szCs w:val="24"/>
        </w:rPr>
      </w:pPr>
      <w:r w:rsidRPr="006B0A7A">
        <w:rPr>
          <w:rFonts w:ascii="Open sans" w:eastAsia="Times New Roman" w:hAnsi="Open sans" w:cs="Tahoma"/>
          <w:b/>
          <w:bCs/>
          <w:caps/>
          <w:color w:val="3F3F3F"/>
          <w:sz w:val="24"/>
          <w:szCs w:val="24"/>
        </w:rPr>
        <w:t>WAS BEDEUTET TISA FÜR ÖSTERREICH?</w:t>
      </w:r>
    </w:p>
    <w:p w:rsidR="006B0A7A" w:rsidRPr="006B0A7A" w:rsidRDefault="006B0A7A" w:rsidP="006B0A7A">
      <w:pPr>
        <w:shd w:val="clear" w:color="auto" w:fill="FFFFFF"/>
        <w:spacing w:after="180" w:line="270" w:lineRule="atLeast"/>
        <w:rPr>
          <w:rFonts w:ascii="Tahoma" w:eastAsia="Times New Roman" w:hAnsi="Tahoma" w:cs="Tahoma"/>
          <w:color w:val="3F3F3F"/>
          <w:sz w:val="21"/>
          <w:szCs w:val="21"/>
        </w:rPr>
      </w:pPr>
      <w:r w:rsidRPr="006B0A7A">
        <w:rPr>
          <w:rFonts w:ascii="Tahoma" w:eastAsia="Times New Roman" w:hAnsi="Tahoma" w:cs="Tahoma"/>
          <w:color w:val="3F3F3F"/>
          <w:sz w:val="21"/>
          <w:szCs w:val="21"/>
        </w:rPr>
        <w:t xml:space="preserve">Wichtige öffentliche Dienstleistung wie die Bildung, Wasser, Energie, das Gesundheitswesen und die Sozialversicherungssysteme könnten von </w:t>
      </w:r>
      <w:proofErr w:type="spellStart"/>
      <w:r w:rsidRPr="006B0A7A">
        <w:rPr>
          <w:rFonts w:ascii="Tahoma" w:eastAsia="Times New Roman" w:hAnsi="Tahoma" w:cs="Tahoma"/>
          <w:color w:val="3F3F3F"/>
          <w:sz w:val="21"/>
          <w:szCs w:val="21"/>
        </w:rPr>
        <w:t>TiSA</w:t>
      </w:r>
      <w:proofErr w:type="spellEnd"/>
      <w:r w:rsidRPr="006B0A7A">
        <w:rPr>
          <w:rFonts w:ascii="Tahoma" w:eastAsia="Times New Roman" w:hAnsi="Tahoma" w:cs="Tahoma"/>
          <w:color w:val="3F3F3F"/>
          <w:sz w:val="21"/>
          <w:szCs w:val="21"/>
        </w:rPr>
        <w:t xml:space="preserve"> betroffen sein. Das bedeutet massive Nachteile für Kommunen und Menschen. Denn mit fixen internationalen Regeln könnten die Kommunen nicht mehr frei entscheiden, wie und in welcher Weise öffentliche Dienstleistungen erbracht werden. </w:t>
      </w:r>
    </w:p>
    <w:p w:rsidR="006B0A7A" w:rsidRPr="006B0A7A" w:rsidRDefault="006B0A7A" w:rsidP="006B0A7A">
      <w:pPr>
        <w:shd w:val="clear" w:color="auto" w:fill="FFFFFF"/>
        <w:spacing w:after="180" w:line="270" w:lineRule="atLeast"/>
        <w:rPr>
          <w:rFonts w:ascii="Tahoma" w:eastAsia="Times New Roman" w:hAnsi="Tahoma" w:cs="Tahoma"/>
          <w:color w:val="3F3F3F"/>
          <w:sz w:val="21"/>
          <w:szCs w:val="21"/>
        </w:rPr>
      </w:pPr>
      <w:r w:rsidRPr="006B0A7A">
        <w:rPr>
          <w:rFonts w:ascii="Tahoma" w:eastAsia="Times New Roman" w:hAnsi="Tahoma" w:cs="Tahoma"/>
          <w:color w:val="3F3F3F"/>
          <w:sz w:val="21"/>
          <w:szCs w:val="21"/>
        </w:rPr>
        <w:lastRenderedPageBreak/>
        <w:t xml:space="preserve">Zudem ermöglicht </w:t>
      </w:r>
      <w:proofErr w:type="spellStart"/>
      <w:r w:rsidRPr="006B0A7A">
        <w:rPr>
          <w:rFonts w:ascii="Tahoma" w:eastAsia="Times New Roman" w:hAnsi="Tahoma" w:cs="Tahoma"/>
          <w:color w:val="3F3F3F"/>
          <w:sz w:val="21"/>
          <w:szCs w:val="21"/>
        </w:rPr>
        <w:t>TiSA</w:t>
      </w:r>
      <w:proofErr w:type="spellEnd"/>
      <w:r w:rsidRPr="006B0A7A">
        <w:rPr>
          <w:rFonts w:ascii="Tahoma" w:eastAsia="Times New Roman" w:hAnsi="Tahoma" w:cs="Tahoma"/>
          <w:color w:val="3F3F3F"/>
          <w:sz w:val="21"/>
          <w:szCs w:val="21"/>
        </w:rPr>
        <w:t xml:space="preserve"> wie schon bei TTIP Konzernen (zum Beispiel dem Gensaatgut-Hersteller Monsanto), entgangene Umsätze aufgrund von nationalen Gesetzgebungen (zum Beispiel dem Verbot von Genmais) einzuklagen.</w:t>
      </w:r>
    </w:p>
    <w:p w:rsidR="006B0A7A" w:rsidRPr="006B0A7A" w:rsidRDefault="006B0A7A" w:rsidP="006B0A7A">
      <w:pPr>
        <w:shd w:val="clear" w:color="auto" w:fill="FFFFFF"/>
        <w:spacing w:after="180" w:line="270" w:lineRule="atLeast"/>
        <w:rPr>
          <w:rFonts w:ascii="Tahoma" w:eastAsia="Times New Roman" w:hAnsi="Tahoma" w:cs="Tahoma"/>
          <w:color w:val="3F3F3F"/>
          <w:sz w:val="21"/>
          <w:szCs w:val="21"/>
        </w:rPr>
      </w:pPr>
      <w:r w:rsidRPr="006B0A7A">
        <w:rPr>
          <w:rFonts w:ascii="Tahoma" w:eastAsia="Times New Roman" w:hAnsi="Tahoma" w:cs="Tahoma"/>
          <w:b/>
          <w:bCs/>
          <w:color w:val="3F3F3F"/>
          <w:sz w:val="21"/>
          <w:szCs w:val="21"/>
        </w:rPr>
        <w:t>Ausländische Unternehmen = inländische Unternehmen</w:t>
      </w:r>
    </w:p>
    <w:p w:rsidR="006B0A7A" w:rsidRPr="006B0A7A" w:rsidRDefault="006B0A7A" w:rsidP="006B0A7A">
      <w:pPr>
        <w:shd w:val="clear" w:color="auto" w:fill="FFFFFF"/>
        <w:spacing w:after="180" w:line="270" w:lineRule="atLeast"/>
        <w:rPr>
          <w:rFonts w:ascii="Tahoma" w:eastAsia="Times New Roman" w:hAnsi="Tahoma" w:cs="Tahoma"/>
          <w:color w:val="3F3F3F"/>
          <w:sz w:val="21"/>
          <w:szCs w:val="21"/>
        </w:rPr>
      </w:pPr>
      <w:r w:rsidRPr="006B0A7A">
        <w:rPr>
          <w:rFonts w:ascii="Tahoma" w:eastAsia="Times New Roman" w:hAnsi="Tahoma" w:cs="Tahoma"/>
          <w:color w:val="3F3F3F"/>
          <w:sz w:val="21"/>
          <w:szCs w:val="21"/>
        </w:rPr>
        <w:t xml:space="preserve">TISA will, dass ausländische </w:t>
      </w:r>
      <w:proofErr w:type="spellStart"/>
      <w:r w:rsidRPr="006B0A7A">
        <w:rPr>
          <w:rFonts w:ascii="Tahoma" w:eastAsia="Times New Roman" w:hAnsi="Tahoma" w:cs="Tahoma"/>
          <w:color w:val="3F3F3F"/>
          <w:sz w:val="21"/>
          <w:szCs w:val="21"/>
        </w:rPr>
        <w:t>DienstleistungserbringerInnen</w:t>
      </w:r>
      <w:proofErr w:type="spellEnd"/>
      <w:r w:rsidRPr="006B0A7A">
        <w:rPr>
          <w:rFonts w:ascii="Tahoma" w:eastAsia="Times New Roman" w:hAnsi="Tahoma" w:cs="Tahoma"/>
          <w:color w:val="3F3F3F"/>
          <w:sz w:val="21"/>
          <w:szCs w:val="21"/>
        </w:rPr>
        <w:t xml:space="preserve"> die gleichen Rechte, also die "gleichen Wettbewerbschancen", bekommen sollen wie heimische – mit weitreichenden Folgen. Denn dadurch hätten ausländische </w:t>
      </w:r>
      <w:proofErr w:type="spellStart"/>
      <w:r w:rsidRPr="006B0A7A">
        <w:rPr>
          <w:rFonts w:ascii="Tahoma" w:eastAsia="Times New Roman" w:hAnsi="Tahoma" w:cs="Tahoma"/>
          <w:color w:val="3F3F3F"/>
          <w:sz w:val="21"/>
          <w:szCs w:val="21"/>
        </w:rPr>
        <w:t>AnbieterInnen</w:t>
      </w:r>
      <w:proofErr w:type="spellEnd"/>
      <w:r w:rsidRPr="006B0A7A">
        <w:rPr>
          <w:rFonts w:ascii="Tahoma" w:eastAsia="Times New Roman" w:hAnsi="Tahoma" w:cs="Tahoma"/>
          <w:color w:val="3F3F3F"/>
          <w:sz w:val="21"/>
          <w:szCs w:val="21"/>
        </w:rPr>
        <w:t xml:space="preserve"> auch im gleichen Umfang Anspruch auf staatliche Subventionen wie inländische. Zudem dürften ausländische Dienstleister ihre Arbeitskräfte aus dem Herkunftsland mitbringen. Diese könnten dann nach den Lohnregelungen des Herkunftslandes bezahlt werden.</w:t>
      </w:r>
    </w:p>
    <w:p w:rsidR="006B0A7A" w:rsidRPr="006B0A7A" w:rsidRDefault="006B0A7A" w:rsidP="006B0A7A">
      <w:pPr>
        <w:shd w:val="clear" w:color="auto" w:fill="FFFFFF"/>
        <w:spacing w:after="0" w:line="240" w:lineRule="atLeast"/>
        <w:outlineLvl w:val="4"/>
        <w:rPr>
          <w:rFonts w:ascii="Open sans" w:eastAsia="Times New Roman" w:hAnsi="Open sans" w:cs="Tahoma"/>
          <w:b/>
          <w:bCs/>
          <w:caps/>
          <w:color w:val="3F3F3F"/>
          <w:sz w:val="24"/>
          <w:szCs w:val="24"/>
        </w:rPr>
      </w:pPr>
      <w:r w:rsidRPr="006B0A7A">
        <w:rPr>
          <w:rFonts w:ascii="Open sans" w:eastAsia="Times New Roman" w:hAnsi="Open sans" w:cs="Tahoma"/>
          <w:b/>
          <w:bCs/>
          <w:caps/>
          <w:color w:val="3F3F3F"/>
          <w:sz w:val="24"/>
          <w:szCs w:val="24"/>
        </w:rPr>
        <w:t>Wer profitiert von TISA?</w:t>
      </w:r>
    </w:p>
    <w:p w:rsidR="006B0A7A" w:rsidRPr="006B0A7A" w:rsidRDefault="006B0A7A" w:rsidP="006B0A7A">
      <w:pPr>
        <w:shd w:val="clear" w:color="auto" w:fill="FFFFFF"/>
        <w:spacing w:after="180" w:line="270" w:lineRule="atLeast"/>
        <w:rPr>
          <w:rFonts w:ascii="Tahoma" w:eastAsia="Times New Roman" w:hAnsi="Tahoma" w:cs="Tahoma"/>
          <w:color w:val="3F3F3F"/>
          <w:sz w:val="21"/>
          <w:szCs w:val="21"/>
        </w:rPr>
      </w:pPr>
      <w:r w:rsidRPr="006B0A7A">
        <w:rPr>
          <w:rFonts w:ascii="Tahoma" w:eastAsia="Times New Roman" w:hAnsi="Tahoma" w:cs="Tahoma"/>
          <w:color w:val="3F3F3F"/>
          <w:sz w:val="21"/>
          <w:szCs w:val="21"/>
        </w:rPr>
        <w:t xml:space="preserve">Große internationale Konzerne wie die Deutsche Telekom, Siemens, der US-Konzern </w:t>
      </w:r>
      <w:proofErr w:type="spellStart"/>
      <w:r w:rsidRPr="006B0A7A">
        <w:rPr>
          <w:rFonts w:ascii="Tahoma" w:eastAsia="Times New Roman" w:hAnsi="Tahoma" w:cs="Tahoma"/>
          <w:color w:val="3F3F3F"/>
          <w:sz w:val="21"/>
          <w:szCs w:val="21"/>
        </w:rPr>
        <w:t>Walmart</w:t>
      </w:r>
      <w:proofErr w:type="spellEnd"/>
      <w:r w:rsidRPr="006B0A7A">
        <w:rPr>
          <w:rFonts w:ascii="Tahoma" w:eastAsia="Times New Roman" w:hAnsi="Tahoma" w:cs="Tahoma"/>
          <w:color w:val="3F3F3F"/>
          <w:sz w:val="21"/>
          <w:szCs w:val="21"/>
        </w:rPr>
        <w:t xml:space="preserve"> u.a. Ihr Ziel: möglichst viele Markthemmnisse beseitigen, weitere Märkte erschließen und Wachstum erzielen.</w:t>
      </w:r>
    </w:p>
    <w:p w:rsidR="006B0A7A" w:rsidRPr="006B0A7A" w:rsidRDefault="006B0A7A" w:rsidP="006B0A7A">
      <w:pPr>
        <w:shd w:val="clear" w:color="auto" w:fill="FFFFFF"/>
        <w:spacing w:after="0" w:line="240" w:lineRule="atLeast"/>
        <w:outlineLvl w:val="4"/>
        <w:rPr>
          <w:rFonts w:ascii="Open sans" w:eastAsia="Times New Roman" w:hAnsi="Open sans" w:cs="Tahoma"/>
          <w:b/>
          <w:bCs/>
          <w:caps/>
          <w:color w:val="3F3F3F"/>
          <w:sz w:val="24"/>
          <w:szCs w:val="24"/>
        </w:rPr>
      </w:pPr>
      <w:r w:rsidRPr="006B0A7A">
        <w:rPr>
          <w:rFonts w:ascii="Open sans" w:eastAsia="Times New Roman" w:hAnsi="Open sans" w:cs="Tahoma"/>
          <w:b/>
          <w:bCs/>
          <w:caps/>
          <w:color w:val="3F3F3F"/>
          <w:sz w:val="24"/>
          <w:szCs w:val="24"/>
        </w:rPr>
        <w:t>... und wenn ein Staat nicht mitverhandelt?</w:t>
      </w:r>
    </w:p>
    <w:p w:rsidR="006B0A7A" w:rsidRPr="006B0A7A" w:rsidRDefault="006B0A7A" w:rsidP="006B0A7A">
      <w:pPr>
        <w:shd w:val="clear" w:color="auto" w:fill="FFFFFF"/>
        <w:spacing w:after="180" w:line="270" w:lineRule="atLeast"/>
        <w:rPr>
          <w:rFonts w:ascii="Tahoma" w:eastAsia="Times New Roman" w:hAnsi="Tahoma" w:cs="Tahoma"/>
          <w:color w:val="3F3F3F"/>
          <w:sz w:val="21"/>
          <w:szCs w:val="21"/>
        </w:rPr>
      </w:pPr>
      <w:r w:rsidRPr="006B0A7A">
        <w:rPr>
          <w:rFonts w:ascii="Tahoma" w:eastAsia="Times New Roman" w:hAnsi="Tahoma" w:cs="Tahoma"/>
          <w:color w:val="3F3F3F"/>
          <w:sz w:val="21"/>
          <w:szCs w:val="21"/>
        </w:rPr>
        <w:t xml:space="preserve">Die Ergebnisse von </w:t>
      </w:r>
      <w:proofErr w:type="spellStart"/>
      <w:r w:rsidRPr="006B0A7A">
        <w:rPr>
          <w:rFonts w:ascii="Tahoma" w:eastAsia="Times New Roman" w:hAnsi="Tahoma" w:cs="Tahoma"/>
          <w:color w:val="3F3F3F"/>
          <w:sz w:val="21"/>
          <w:szCs w:val="21"/>
        </w:rPr>
        <w:t>TiSA</w:t>
      </w:r>
      <w:proofErr w:type="spellEnd"/>
      <w:r w:rsidRPr="006B0A7A">
        <w:rPr>
          <w:rFonts w:ascii="Tahoma" w:eastAsia="Times New Roman" w:hAnsi="Tahoma" w:cs="Tahoma"/>
          <w:color w:val="3F3F3F"/>
          <w:sz w:val="21"/>
          <w:szCs w:val="21"/>
        </w:rPr>
        <w:t xml:space="preserve"> betreffen theoretisch nur die Staaten, die mitverhandeln. Die Realität sähe anders aus. Für andere Staaten und Staatengruppen wäre es nahezu unmöglich, an den geltenden TISA-Regelungen vorbeizukommen. Schwächere und ärmere Staaten müssten sich an Regeln halten, die sie nicht mitausgehandelt haben. Es ist davon auszugehen, dass die ausgehandelten Regeln nicht zum Vorteil von Entwicklungs- und Schwellenländern sein werden, sondern dass diese Staaten eher unter Druck geraten.</w:t>
      </w:r>
    </w:p>
    <w:p w:rsidR="006B0A7A" w:rsidRPr="006B0A7A" w:rsidRDefault="006B0A7A" w:rsidP="006B0A7A">
      <w:pPr>
        <w:shd w:val="clear" w:color="auto" w:fill="FFFFFF"/>
        <w:spacing w:after="0" w:line="240" w:lineRule="atLeast"/>
        <w:outlineLvl w:val="4"/>
        <w:rPr>
          <w:rFonts w:ascii="Open sans" w:eastAsia="Times New Roman" w:hAnsi="Open sans" w:cs="Tahoma"/>
          <w:b/>
          <w:bCs/>
          <w:caps/>
          <w:color w:val="3F3F3F"/>
          <w:sz w:val="24"/>
          <w:szCs w:val="24"/>
        </w:rPr>
      </w:pPr>
      <w:r w:rsidRPr="006B0A7A">
        <w:rPr>
          <w:rFonts w:ascii="Open sans" w:eastAsia="Times New Roman" w:hAnsi="Open sans" w:cs="Tahoma"/>
          <w:b/>
          <w:bCs/>
          <w:caps/>
          <w:color w:val="3F3F3F"/>
          <w:sz w:val="24"/>
          <w:szCs w:val="24"/>
        </w:rPr>
        <w:t>Wie weit sind die Verhandlungen?</w:t>
      </w:r>
    </w:p>
    <w:p w:rsidR="006B0A7A" w:rsidRPr="006B0A7A" w:rsidRDefault="006B0A7A" w:rsidP="006B0A7A">
      <w:pPr>
        <w:shd w:val="clear" w:color="auto" w:fill="FFFFFF"/>
        <w:spacing w:after="180" w:line="270" w:lineRule="atLeast"/>
        <w:rPr>
          <w:rFonts w:ascii="Tahoma" w:eastAsia="Times New Roman" w:hAnsi="Tahoma" w:cs="Tahoma"/>
          <w:color w:val="3F3F3F"/>
          <w:sz w:val="21"/>
          <w:szCs w:val="21"/>
        </w:rPr>
      </w:pPr>
      <w:r w:rsidRPr="006B0A7A">
        <w:rPr>
          <w:rFonts w:ascii="Tahoma" w:eastAsia="Times New Roman" w:hAnsi="Tahoma" w:cs="Tahoma"/>
          <w:color w:val="3F3F3F"/>
          <w:sz w:val="21"/>
          <w:szCs w:val="21"/>
        </w:rPr>
        <w:t>Bislang gab es sieben Verhandlungsrunden. Bis Jahresende sollen noch drei weitere Verhandlungsrunden stattfinden. Wann ausverhandelt ist, weiß man nicht. Es gibt keinen (offiziellen) Termin zum Ende der Verhandlungen.</w:t>
      </w:r>
    </w:p>
    <w:p w:rsidR="00657435" w:rsidRDefault="00657435"/>
    <w:sectPr w:rsidR="0065743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3in;height:3in" o:bullet="t"/>
    </w:pict>
  </w:numPicBullet>
  <w:abstractNum w:abstractNumId="0">
    <w:nsid w:val="04C53A71"/>
    <w:multiLevelType w:val="multilevel"/>
    <w:tmpl w:val="8472A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0A7A"/>
    <w:rsid w:val="00377764"/>
    <w:rsid w:val="00657435"/>
    <w:rsid w:val="006B0A7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4"/>
        <w:szCs w:val="24"/>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rFonts w:ascii="Times New Roman" w:eastAsia="Batang" w:hAnsi="Times New Roman" w:cs="Times New Roman"/>
      <w:sz w:val="20"/>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6B0A7A"/>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B0A7A"/>
    <w:rPr>
      <w:rFonts w:ascii="Tahoma" w:eastAsia="Batang" w:hAnsi="Tahoma" w:cs="Tahoma"/>
      <w:sz w:val="16"/>
      <w:szCs w:val="16"/>
      <w:lang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rFonts w:ascii="Times New Roman" w:eastAsia="Batang" w:hAnsi="Times New Roman" w:cs="Times New Roman"/>
      <w:sz w:val="20"/>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6B0A7A"/>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B0A7A"/>
    <w:rPr>
      <w:rFonts w:ascii="Tahoma" w:eastAsia="Batang" w:hAnsi="Tahoma" w:cs="Tahoma"/>
      <w:sz w:val="16"/>
      <w:szCs w:val="16"/>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1597586">
      <w:bodyDiv w:val="1"/>
      <w:marLeft w:val="0"/>
      <w:marRight w:val="0"/>
      <w:marTop w:val="0"/>
      <w:marBottom w:val="0"/>
      <w:divBdr>
        <w:top w:val="none" w:sz="0" w:space="0" w:color="auto"/>
        <w:left w:val="none" w:sz="0" w:space="0" w:color="auto"/>
        <w:bottom w:val="none" w:sz="0" w:space="0" w:color="auto"/>
        <w:right w:val="none" w:sz="0" w:space="0" w:color="auto"/>
      </w:divBdr>
      <w:divsChild>
        <w:div w:id="1738279045">
          <w:marLeft w:val="0"/>
          <w:marRight w:val="0"/>
          <w:marTop w:val="0"/>
          <w:marBottom w:val="0"/>
          <w:divBdr>
            <w:top w:val="none" w:sz="0" w:space="0" w:color="auto"/>
            <w:left w:val="none" w:sz="0" w:space="0" w:color="auto"/>
            <w:bottom w:val="none" w:sz="0" w:space="0" w:color="auto"/>
            <w:right w:val="none" w:sz="0" w:space="0" w:color="auto"/>
          </w:divBdr>
          <w:divsChild>
            <w:div w:id="1119567262">
              <w:marLeft w:val="0"/>
              <w:marRight w:val="-705"/>
              <w:marTop w:val="0"/>
              <w:marBottom w:val="0"/>
              <w:divBdr>
                <w:top w:val="none" w:sz="0" w:space="0" w:color="auto"/>
                <w:left w:val="none" w:sz="0" w:space="0" w:color="auto"/>
                <w:bottom w:val="none" w:sz="0" w:space="0" w:color="auto"/>
                <w:right w:val="none" w:sz="0" w:space="0" w:color="auto"/>
              </w:divBdr>
              <w:divsChild>
                <w:div w:id="1290355361">
                  <w:marLeft w:val="0"/>
                  <w:marRight w:val="0"/>
                  <w:marTop w:val="0"/>
                  <w:marBottom w:val="0"/>
                  <w:divBdr>
                    <w:top w:val="none" w:sz="0" w:space="0" w:color="auto"/>
                    <w:left w:val="none" w:sz="0" w:space="0" w:color="auto"/>
                    <w:bottom w:val="none" w:sz="0" w:space="0" w:color="auto"/>
                    <w:right w:val="none" w:sz="0" w:space="0" w:color="auto"/>
                  </w:divBdr>
                  <w:divsChild>
                    <w:div w:id="212272440">
                      <w:marLeft w:val="0"/>
                      <w:marRight w:val="0"/>
                      <w:marTop w:val="0"/>
                      <w:marBottom w:val="0"/>
                      <w:divBdr>
                        <w:top w:val="none" w:sz="0" w:space="0" w:color="auto"/>
                        <w:left w:val="none" w:sz="0" w:space="0" w:color="auto"/>
                        <w:bottom w:val="none" w:sz="0" w:space="0" w:color="auto"/>
                        <w:right w:val="none" w:sz="0" w:space="0" w:color="auto"/>
                      </w:divBdr>
                      <w:divsChild>
                        <w:div w:id="1733848245">
                          <w:marLeft w:val="0"/>
                          <w:marRight w:val="0"/>
                          <w:marTop w:val="0"/>
                          <w:marBottom w:val="0"/>
                          <w:divBdr>
                            <w:top w:val="none" w:sz="0" w:space="0" w:color="auto"/>
                            <w:left w:val="none" w:sz="0" w:space="0" w:color="auto"/>
                            <w:bottom w:val="none" w:sz="0" w:space="0" w:color="auto"/>
                            <w:right w:val="none" w:sz="0" w:space="0" w:color="auto"/>
                          </w:divBdr>
                          <w:divsChild>
                            <w:div w:id="224027497">
                              <w:marLeft w:val="0"/>
                              <w:marRight w:val="0"/>
                              <w:marTop w:val="0"/>
                              <w:marBottom w:val="0"/>
                              <w:divBdr>
                                <w:top w:val="none" w:sz="0" w:space="0" w:color="auto"/>
                                <w:left w:val="none" w:sz="0" w:space="0" w:color="auto"/>
                                <w:bottom w:val="none" w:sz="0" w:space="0" w:color="auto"/>
                                <w:right w:val="none" w:sz="0" w:space="0" w:color="auto"/>
                              </w:divBdr>
                              <w:divsChild>
                                <w:div w:id="1084304427">
                                  <w:marLeft w:val="0"/>
                                  <w:marRight w:val="0"/>
                                  <w:marTop w:val="0"/>
                                  <w:marBottom w:val="0"/>
                                  <w:divBdr>
                                    <w:top w:val="none" w:sz="0" w:space="0" w:color="auto"/>
                                    <w:left w:val="none" w:sz="0" w:space="0" w:color="auto"/>
                                    <w:bottom w:val="none" w:sz="0" w:space="0" w:color="auto"/>
                                    <w:right w:val="none" w:sz="0" w:space="0" w:color="auto"/>
                                  </w:divBdr>
                                  <w:divsChild>
                                    <w:div w:id="744179642">
                                      <w:marLeft w:val="0"/>
                                      <w:marRight w:val="0"/>
                                      <w:marTop w:val="0"/>
                                      <w:marBottom w:val="0"/>
                                      <w:divBdr>
                                        <w:top w:val="none" w:sz="0" w:space="0" w:color="auto"/>
                                        <w:left w:val="none" w:sz="0" w:space="0" w:color="auto"/>
                                        <w:bottom w:val="none" w:sz="0" w:space="0" w:color="auto"/>
                                        <w:right w:val="none" w:sz="0" w:space="0" w:color="auto"/>
                                      </w:divBdr>
                                      <w:divsChild>
                                        <w:div w:id="1328443518">
                                          <w:marLeft w:val="0"/>
                                          <w:marRight w:val="0"/>
                                          <w:marTop w:val="0"/>
                                          <w:marBottom w:val="0"/>
                                          <w:divBdr>
                                            <w:top w:val="none" w:sz="0" w:space="0" w:color="auto"/>
                                            <w:left w:val="none" w:sz="0" w:space="0" w:color="auto"/>
                                            <w:bottom w:val="none" w:sz="0" w:space="0" w:color="auto"/>
                                            <w:right w:val="none" w:sz="0" w:space="0" w:color="auto"/>
                                          </w:divBdr>
                                          <w:divsChild>
                                            <w:div w:id="1534076626">
                                              <w:marLeft w:val="0"/>
                                              <w:marRight w:val="0"/>
                                              <w:marTop w:val="0"/>
                                              <w:marBottom w:val="0"/>
                                              <w:divBdr>
                                                <w:top w:val="none" w:sz="0" w:space="0" w:color="auto"/>
                                                <w:left w:val="none" w:sz="0" w:space="0" w:color="auto"/>
                                                <w:bottom w:val="none" w:sz="0" w:space="0" w:color="auto"/>
                                                <w:right w:val="none" w:sz="0" w:space="0" w:color="auto"/>
                                              </w:divBdr>
                                              <w:divsChild>
                                                <w:div w:id="573853234">
                                                  <w:marLeft w:val="0"/>
                                                  <w:marRight w:val="0"/>
                                                  <w:marTop w:val="0"/>
                                                  <w:marBottom w:val="0"/>
                                                  <w:divBdr>
                                                    <w:top w:val="none" w:sz="0" w:space="0" w:color="auto"/>
                                                    <w:left w:val="none" w:sz="0" w:space="0" w:color="auto"/>
                                                    <w:bottom w:val="none" w:sz="0" w:space="0" w:color="auto"/>
                                                    <w:right w:val="none" w:sz="0" w:space="0" w:color="auto"/>
                                                  </w:divBdr>
                                                  <w:divsChild>
                                                    <w:div w:id="1183469054">
                                                      <w:marLeft w:val="0"/>
                                                      <w:marRight w:val="0"/>
                                                      <w:marTop w:val="0"/>
                                                      <w:marBottom w:val="0"/>
                                                      <w:divBdr>
                                                        <w:top w:val="none" w:sz="0" w:space="0" w:color="auto"/>
                                                        <w:left w:val="none" w:sz="0" w:space="0" w:color="auto"/>
                                                        <w:bottom w:val="none" w:sz="0" w:space="0" w:color="auto"/>
                                                        <w:right w:val="none" w:sz="0" w:space="0" w:color="auto"/>
                                                      </w:divBdr>
                                                      <w:divsChild>
                                                        <w:div w:id="754210937">
                                                          <w:marLeft w:val="0"/>
                                                          <w:marRight w:val="0"/>
                                                          <w:marTop w:val="0"/>
                                                          <w:marBottom w:val="0"/>
                                                          <w:divBdr>
                                                            <w:top w:val="none" w:sz="0" w:space="0" w:color="auto"/>
                                                            <w:left w:val="none" w:sz="0" w:space="0" w:color="auto"/>
                                                            <w:bottom w:val="none" w:sz="0" w:space="0" w:color="auto"/>
                                                            <w:right w:val="none" w:sz="0" w:space="0" w:color="auto"/>
                                                          </w:divBdr>
                                                          <w:divsChild>
                                                            <w:div w:id="1234437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45286">
                                                  <w:marLeft w:val="0"/>
                                                  <w:marRight w:val="0"/>
                                                  <w:marTop w:val="0"/>
                                                  <w:marBottom w:val="0"/>
                                                  <w:divBdr>
                                                    <w:top w:val="none" w:sz="0" w:space="0" w:color="auto"/>
                                                    <w:left w:val="none" w:sz="0" w:space="0" w:color="auto"/>
                                                    <w:bottom w:val="none" w:sz="0" w:space="0" w:color="auto"/>
                                                    <w:right w:val="none" w:sz="0" w:space="0" w:color="auto"/>
                                                  </w:divBdr>
                                                  <w:divsChild>
                                                    <w:div w:id="114914322">
                                                      <w:marLeft w:val="0"/>
                                                      <w:marRight w:val="0"/>
                                                      <w:marTop w:val="0"/>
                                                      <w:marBottom w:val="0"/>
                                                      <w:divBdr>
                                                        <w:top w:val="none" w:sz="0" w:space="0" w:color="auto"/>
                                                        <w:left w:val="none" w:sz="0" w:space="0" w:color="auto"/>
                                                        <w:bottom w:val="none" w:sz="0" w:space="0" w:color="auto"/>
                                                        <w:right w:val="none" w:sz="0" w:space="0" w:color="auto"/>
                                                      </w:divBdr>
                                                      <w:divsChild>
                                                        <w:div w:id="696925408">
                                                          <w:marLeft w:val="0"/>
                                                          <w:marRight w:val="0"/>
                                                          <w:marTop w:val="0"/>
                                                          <w:marBottom w:val="0"/>
                                                          <w:divBdr>
                                                            <w:top w:val="none" w:sz="0" w:space="0" w:color="auto"/>
                                                            <w:left w:val="none" w:sz="0" w:space="0" w:color="auto"/>
                                                            <w:bottom w:val="none" w:sz="0" w:space="0" w:color="auto"/>
                                                            <w:right w:val="none" w:sz="0" w:space="0" w:color="auto"/>
                                                          </w:divBdr>
                                                          <w:divsChild>
                                                            <w:div w:id="37993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766577">
                                                  <w:marLeft w:val="0"/>
                                                  <w:marRight w:val="0"/>
                                                  <w:marTop w:val="0"/>
                                                  <w:marBottom w:val="0"/>
                                                  <w:divBdr>
                                                    <w:top w:val="none" w:sz="0" w:space="0" w:color="auto"/>
                                                    <w:left w:val="none" w:sz="0" w:space="0" w:color="auto"/>
                                                    <w:bottom w:val="none" w:sz="0" w:space="0" w:color="auto"/>
                                                    <w:right w:val="none" w:sz="0" w:space="0" w:color="auto"/>
                                                  </w:divBdr>
                                                  <w:divsChild>
                                                    <w:div w:id="612978668">
                                                      <w:marLeft w:val="0"/>
                                                      <w:marRight w:val="0"/>
                                                      <w:marTop w:val="0"/>
                                                      <w:marBottom w:val="0"/>
                                                      <w:divBdr>
                                                        <w:top w:val="none" w:sz="0" w:space="0" w:color="auto"/>
                                                        <w:left w:val="none" w:sz="0" w:space="0" w:color="auto"/>
                                                        <w:bottom w:val="none" w:sz="0" w:space="0" w:color="auto"/>
                                                        <w:right w:val="none" w:sz="0" w:space="0" w:color="auto"/>
                                                      </w:divBdr>
                                                      <w:divsChild>
                                                        <w:div w:id="1151749807">
                                                          <w:marLeft w:val="0"/>
                                                          <w:marRight w:val="0"/>
                                                          <w:marTop w:val="0"/>
                                                          <w:marBottom w:val="0"/>
                                                          <w:divBdr>
                                                            <w:top w:val="none" w:sz="0" w:space="0" w:color="auto"/>
                                                            <w:left w:val="none" w:sz="0" w:space="0" w:color="auto"/>
                                                            <w:bottom w:val="none" w:sz="0" w:space="0" w:color="auto"/>
                                                            <w:right w:val="none" w:sz="0" w:space="0" w:color="auto"/>
                                                          </w:divBdr>
                                                          <w:divsChild>
                                                            <w:div w:id="1322854218">
                                                              <w:marLeft w:val="0"/>
                                                              <w:marRight w:val="0"/>
                                                              <w:marTop w:val="0"/>
                                                              <w:marBottom w:val="0"/>
                                                              <w:divBdr>
                                                                <w:top w:val="none" w:sz="0" w:space="0" w:color="auto"/>
                                                                <w:left w:val="none" w:sz="0" w:space="0" w:color="auto"/>
                                                                <w:bottom w:val="none" w:sz="0" w:space="0" w:color="auto"/>
                                                                <w:right w:val="none" w:sz="0" w:space="0" w:color="auto"/>
                                                              </w:divBdr>
                                                              <w:divsChild>
                                                                <w:div w:id="14667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0414939">
                                                  <w:marLeft w:val="0"/>
                                                  <w:marRight w:val="0"/>
                                                  <w:marTop w:val="0"/>
                                                  <w:marBottom w:val="0"/>
                                                  <w:divBdr>
                                                    <w:top w:val="none" w:sz="0" w:space="0" w:color="auto"/>
                                                    <w:left w:val="none" w:sz="0" w:space="0" w:color="auto"/>
                                                    <w:bottom w:val="none" w:sz="0" w:space="0" w:color="auto"/>
                                                    <w:right w:val="none" w:sz="0" w:space="0" w:color="auto"/>
                                                  </w:divBdr>
                                                  <w:divsChild>
                                                    <w:div w:id="1283656646">
                                                      <w:marLeft w:val="0"/>
                                                      <w:marRight w:val="0"/>
                                                      <w:marTop w:val="0"/>
                                                      <w:marBottom w:val="0"/>
                                                      <w:divBdr>
                                                        <w:top w:val="none" w:sz="0" w:space="0" w:color="auto"/>
                                                        <w:left w:val="none" w:sz="0" w:space="0" w:color="auto"/>
                                                        <w:bottom w:val="none" w:sz="0" w:space="0" w:color="auto"/>
                                                        <w:right w:val="none" w:sz="0" w:space="0" w:color="auto"/>
                                                      </w:divBdr>
                                                      <w:divsChild>
                                                        <w:div w:id="1139223036">
                                                          <w:marLeft w:val="0"/>
                                                          <w:marRight w:val="0"/>
                                                          <w:marTop w:val="0"/>
                                                          <w:marBottom w:val="0"/>
                                                          <w:divBdr>
                                                            <w:top w:val="none" w:sz="0" w:space="0" w:color="auto"/>
                                                            <w:left w:val="none" w:sz="0" w:space="0" w:color="auto"/>
                                                            <w:bottom w:val="none" w:sz="0" w:space="0" w:color="auto"/>
                                                            <w:right w:val="none" w:sz="0" w:space="0" w:color="auto"/>
                                                          </w:divBdr>
                                                          <w:divsChild>
                                                            <w:div w:id="114493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637469">
                                                  <w:marLeft w:val="0"/>
                                                  <w:marRight w:val="0"/>
                                                  <w:marTop w:val="0"/>
                                                  <w:marBottom w:val="0"/>
                                                  <w:divBdr>
                                                    <w:top w:val="none" w:sz="0" w:space="0" w:color="auto"/>
                                                    <w:left w:val="none" w:sz="0" w:space="0" w:color="auto"/>
                                                    <w:bottom w:val="none" w:sz="0" w:space="0" w:color="auto"/>
                                                    <w:right w:val="none" w:sz="0" w:space="0" w:color="auto"/>
                                                  </w:divBdr>
                                                  <w:divsChild>
                                                    <w:div w:id="1244027760">
                                                      <w:marLeft w:val="0"/>
                                                      <w:marRight w:val="0"/>
                                                      <w:marTop w:val="0"/>
                                                      <w:marBottom w:val="0"/>
                                                      <w:divBdr>
                                                        <w:top w:val="none" w:sz="0" w:space="0" w:color="auto"/>
                                                        <w:left w:val="none" w:sz="0" w:space="0" w:color="auto"/>
                                                        <w:bottom w:val="none" w:sz="0" w:space="0" w:color="auto"/>
                                                        <w:right w:val="none" w:sz="0" w:space="0" w:color="auto"/>
                                                      </w:divBdr>
                                                      <w:divsChild>
                                                        <w:div w:id="1691712859">
                                                          <w:marLeft w:val="0"/>
                                                          <w:marRight w:val="0"/>
                                                          <w:marTop w:val="0"/>
                                                          <w:marBottom w:val="0"/>
                                                          <w:divBdr>
                                                            <w:top w:val="none" w:sz="0" w:space="0" w:color="auto"/>
                                                            <w:left w:val="none" w:sz="0" w:space="0" w:color="auto"/>
                                                            <w:bottom w:val="none" w:sz="0" w:space="0" w:color="auto"/>
                                                            <w:right w:val="none" w:sz="0" w:space="0" w:color="auto"/>
                                                          </w:divBdr>
                                                          <w:divsChild>
                                                            <w:div w:id="170120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ruene.at/themen/umwelt/wasser-ist-keine-handelsware-ein-gruener-erfol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F8B3CCDE.dotm</Template>
  <TotalTime>0</TotalTime>
  <Pages>2</Pages>
  <Words>702</Words>
  <Characters>4427</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DIOGRZ</Company>
  <LinksUpToDate>false</LinksUpToDate>
  <CharactersWithSpaces>5119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master</dc:creator>
  <cp:lastModifiedBy>master</cp:lastModifiedBy>
  <cp:revision>2</cp:revision>
  <dcterms:created xsi:type="dcterms:W3CDTF">2017-01-23T07:54:00Z</dcterms:created>
  <dcterms:modified xsi:type="dcterms:W3CDTF">2017-01-23T07:54:00Z</dcterms:modified>
</cp:coreProperties>
</file>