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339" w:rsidRPr="00132339" w:rsidRDefault="00132339" w:rsidP="00132339">
      <w:pPr>
        <w:shd w:val="clear" w:color="auto" w:fill="FFFFFF"/>
        <w:spacing w:before="100" w:beforeAutospacing="1" w:after="100" w:afterAutospacing="1" w:line="300" w:lineRule="atLeast"/>
        <w:outlineLvl w:val="2"/>
        <w:rPr>
          <w:rFonts w:eastAsia="Times New Roman"/>
          <w:b/>
          <w:bCs/>
          <w:color w:val="3F3F3F"/>
        </w:rPr>
      </w:pPr>
      <w:r w:rsidRPr="00132339">
        <w:rPr>
          <w:rFonts w:eastAsia="Times New Roman"/>
          <w:b/>
          <w:bCs/>
          <w:color w:val="3F3F3F"/>
        </w:rPr>
        <w:t>Was ist CE</w:t>
      </w:r>
      <w:r>
        <w:rPr>
          <w:rFonts w:eastAsia="Times New Roman"/>
          <w:b/>
          <w:bCs/>
          <w:color w:val="3F3F3F"/>
        </w:rPr>
        <w:t>TA</w:t>
      </w:r>
      <w:r w:rsidRPr="00132339">
        <w:rPr>
          <w:rFonts w:eastAsia="Times New Roman"/>
          <w:b/>
          <w:bCs/>
          <w:color w:val="3F3F3F"/>
        </w:rPr>
        <w:t xml:space="preserve">? </w:t>
      </w:r>
    </w:p>
    <w:p w:rsidR="00132339" w:rsidRPr="00132339" w:rsidRDefault="00132339" w:rsidP="00132339">
      <w:pPr>
        <w:shd w:val="clear" w:color="auto" w:fill="FFFFFF"/>
        <w:spacing w:after="180" w:line="270" w:lineRule="atLeast"/>
        <w:rPr>
          <w:rFonts w:eastAsia="Times New Roman"/>
          <w:b/>
          <w:bCs/>
          <w:caps/>
          <w:color w:val="3F3F3F"/>
        </w:rPr>
      </w:pPr>
      <w:hyperlink r:id="rId6" w:history="1">
        <w:r w:rsidRPr="00132339">
          <w:rPr>
            <w:rFonts w:eastAsia="Times New Roman"/>
          </w:rPr>
          <w:t>CETA (</w:t>
        </w:r>
        <w:proofErr w:type="spellStart"/>
        <w:r w:rsidRPr="00132339">
          <w:rPr>
            <w:rFonts w:eastAsia="Times New Roman"/>
            <w:b/>
          </w:rPr>
          <w:t>C</w:t>
        </w:r>
        <w:r w:rsidRPr="00132339">
          <w:rPr>
            <w:rFonts w:eastAsia="Times New Roman"/>
          </w:rPr>
          <w:t>omprehensive</w:t>
        </w:r>
        <w:proofErr w:type="spellEnd"/>
        <w:r w:rsidRPr="00132339">
          <w:rPr>
            <w:rFonts w:eastAsia="Times New Roman"/>
          </w:rPr>
          <w:t xml:space="preserve"> </w:t>
        </w:r>
        <w:proofErr w:type="spellStart"/>
        <w:r w:rsidRPr="00132339">
          <w:rPr>
            <w:rFonts w:eastAsia="Times New Roman"/>
            <w:b/>
          </w:rPr>
          <w:t>E</w:t>
        </w:r>
        <w:r w:rsidRPr="00132339">
          <w:rPr>
            <w:rFonts w:eastAsia="Times New Roman"/>
          </w:rPr>
          <w:t>conomic</w:t>
        </w:r>
        <w:proofErr w:type="spellEnd"/>
        <w:r w:rsidRPr="00132339">
          <w:rPr>
            <w:rFonts w:eastAsia="Times New Roman"/>
          </w:rPr>
          <w:t xml:space="preserve"> </w:t>
        </w:r>
        <w:proofErr w:type="spellStart"/>
        <w:r w:rsidRPr="00132339">
          <w:rPr>
            <w:rFonts w:eastAsia="Times New Roman"/>
          </w:rPr>
          <w:t>and</w:t>
        </w:r>
        <w:proofErr w:type="spellEnd"/>
        <w:r w:rsidRPr="00132339">
          <w:rPr>
            <w:rFonts w:eastAsia="Times New Roman"/>
          </w:rPr>
          <w:t xml:space="preserve"> </w:t>
        </w:r>
        <w:r w:rsidRPr="00132339">
          <w:rPr>
            <w:rFonts w:eastAsia="Times New Roman"/>
            <w:b/>
          </w:rPr>
          <w:t>T</w:t>
        </w:r>
        <w:r w:rsidRPr="00132339">
          <w:rPr>
            <w:rFonts w:eastAsia="Times New Roman"/>
          </w:rPr>
          <w:t xml:space="preserve">rade </w:t>
        </w:r>
        <w:r w:rsidRPr="00132339">
          <w:rPr>
            <w:rFonts w:eastAsia="Times New Roman"/>
            <w:b/>
          </w:rPr>
          <w:t>A</w:t>
        </w:r>
        <w:r w:rsidRPr="00132339">
          <w:rPr>
            <w:rFonts w:eastAsia="Times New Roman"/>
          </w:rPr>
          <w:t>greement)</w:t>
        </w:r>
      </w:hyperlink>
      <w:r w:rsidRPr="00132339">
        <w:rPr>
          <w:rFonts w:eastAsia="Times New Roman"/>
          <w:color w:val="3F3F3F"/>
        </w:rPr>
        <w:t xml:space="preserve"> ist ein geplantes Freihandelsabkommen, das zwischen Kanada und der EU abgeschlossen werden soll. Genau wie beim europäisch-amerikanischen Freihandelsabkommen </w:t>
      </w:r>
      <w:hyperlink r:id="rId7" w:history="1">
        <w:r w:rsidRPr="00132339">
          <w:rPr>
            <w:rFonts w:eastAsia="Times New Roman"/>
          </w:rPr>
          <w:t>TTIP</w:t>
        </w:r>
      </w:hyperlink>
      <w:r>
        <w:rPr>
          <w:rFonts w:eastAsia="Times New Roman"/>
          <w:color w:val="3F3F3F"/>
        </w:rPr>
        <w:t xml:space="preserve"> geht es um:</w:t>
      </w:r>
    </w:p>
    <w:p w:rsidR="00132339" w:rsidRPr="00132339" w:rsidRDefault="00132339" w:rsidP="0013233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0" w:lineRule="atLeast"/>
        <w:ind w:left="270"/>
        <w:rPr>
          <w:rFonts w:eastAsia="Times New Roman"/>
          <w:color w:val="3F3F3F"/>
        </w:rPr>
      </w:pPr>
      <w:r w:rsidRPr="00132339">
        <w:rPr>
          <w:rFonts w:eastAsia="Times New Roman"/>
          <w:b/>
          <w:bCs/>
          <w:color w:val="3F3F3F"/>
        </w:rPr>
        <w:t xml:space="preserve">juristische Sonderstellung für Konzerne </w:t>
      </w:r>
      <w:r w:rsidRPr="00132339">
        <w:rPr>
          <w:rFonts w:eastAsia="Times New Roman"/>
          <w:color w:val="3F3F3F"/>
        </w:rPr>
        <w:t>(= Sonderklagsrechte)</w:t>
      </w:r>
    </w:p>
    <w:p w:rsidR="00132339" w:rsidRPr="00132339" w:rsidRDefault="00132339" w:rsidP="0013233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0" w:lineRule="atLeast"/>
        <w:ind w:left="270"/>
        <w:rPr>
          <w:rFonts w:eastAsia="Times New Roman"/>
          <w:color w:val="3F3F3F"/>
        </w:rPr>
      </w:pPr>
      <w:r w:rsidRPr="00132339">
        <w:rPr>
          <w:rFonts w:eastAsia="Times New Roman"/>
          <w:b/>
          <w:bCs/>
          <w:color w:val="3F3F3F"/>
        </w:rPr>
        <w:t>Liberalisierung</w:t>
      </w:r>
    </w:p>
    <w:p w:rsidR="00132339" w:rsidRPr="00132339" w:rsidRDefault="00132339" w:rsidP="0013233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0" w:lineRule="atLeast"/>
        <w:ind w:left="270"/>
        <w:rPr>
          <w:rFonts w:eastAsia="Times New Roman"/>
          <w:color w:val="3F3F3F"/>
        </w:rPr>
      </w:pPr>
      <w:r w:rsidRPr="00132339">
        <w:rPr>
          <w:rFonts w:eastAsia="Times New Roman"/>
          <w:b/>
          <w:bCs/>
          <w:color w:val="3F3F3F"/>
        </w:rPr>
        <w:t>Privatisierung</w:t>
      </w:r>
    </w:p>
    <w:p w:rsidR="00132339" w:rsidRPr="00132339" w:rsidRDefault="00132339" w:rsidP="0013233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0" w:lineRule="atLeast"/>
        <w:ind w:left="270"/>
        <w:rPr>
          <w:rFonts w:eastAsia="Times New Roman"/>
          <w:color w:val="3F3F3F"/>
        </w:rPr>
      </w:pPr>
      <w:r w:rsidRPr="00132339">
        <w:rPr>
          <w:rFonts w:eastAsia="Times New Roman"/>
          <w:b/>
          <w:bCs/>
          <w:color w:val="3F3F3F"/>
        </w:rPr>
        <w:t>Urheberrecht</w:t>
      </w:r>
    </w:p>
    <w:p w:rsidR="00132339" w:rsidRPr="00132339" w:rsidRDefault="00132339" w:rsidP="0013233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0" w:lineRule="atLeast"/>
        <w:ind w:left="270"/>
        <w:rPr>
          <w:rFonts w:eastAsia="Times New Roman"/>
          <w:color w:val="3F3F3F"/>
        </w:rPr>
      </w:pPr>
      <w:r w:rsidRPr="00132339">
        <w:rPr>
          <w:rFonts w:eastAsia="Times New Roman"/>
          <w:b/>
          <w:bCs/>
          <w:color w:val="3F3F3F"/>
        </w:rPr>
        <w:t>Arbeitsrecht</w:t>
      </w:r>
    </w:p>
    <w:p w:rsidR="00132339" w:rsidRPr="00132339" w:rsidRDefault="00132339" w:rsidP="0013233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0" w:lineRule="atLeast"/>
        <w:ind w:left="270"/>
        <w:rPr>
          <w:rFonts w:eastAsia="Times New Roman"/>
          <w:color w:val="3F3F3F"/>
        </w:rPr>
      </w:pPr>
      <w:r w:rsidRPr="00132339">
        <w:rPr>
          <w:rFonts w:eastAsia="Times New Roman"/>
          <w:b/>
          <w:bCs/>
          <w:color w:val="3F3F3F"/>
        </w:rPr>
        <w:t>öffentliche Beschaffung</w:t>
      </w:r>
    </w:p>
    <w:p w:rsidR="00132339" w:rsidRPr="00132339" w:rsidRDefault="00132339" w:rsidP="0013233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0" w:lineRule="atLeast"/>
        <w:ind w:left="270"/>
        <w:rPr>
          <w:rFonts w:eastAsia="Times New Roman"/>
          <w:color w:val="3F3F3F"/>
        </w:rPr>
      </w:pPr>
      <w:r w:rsidRPr="00132339">
        <w:rPr>
          <w:rFonts w:eastAsia="Times New Roman"/>
          <w:b/>
          <w:bCs/>
          <w:color w:val="3F3F3F"/>
        </w:rPr>
        <w:t>Agrar-Richtlinien</w:t>
      </w:r>
      <w:r w:rsidRPr="00132339">
        <w:rPr>
          <w:rFonts w:eastAsia="Times New Roman"/>
          <w:color w:val="3F3F3F"/>
        </w:rPr>
        <w:t xml:space="preserve"> und </w:t>
      </w:r>
    </w:p>
    <w:p w:rsidR="00132339" w:rsidRPr="00132339" w:rsidRDefault="00132339" w:rsidP="0013233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0" w:lineRule="atLeast"/>
        <w:ind w:left="270"/>
        <w:rPr>
          <w:rFonts w:eastAsia="Times New Roman"/>
          <w:color w:val="3F3F3F"/>
        </w:rPr>
      </w:pPr>
      <w:r w:rsidRPr="00132339">
        <w:rPr>
          <w:rFonts w:eastAsia="Times New Roman"/>
          <w:b/>
          <w:bCs/>
          <w:color w:val="3F3F3F"/>
        </w:rPr>
        <w:t xml:space="preserve">Umwelt. </w:t>
      </w:r>
    </w:p>
    <w:p w:rsidR="00132339" w:rsidRPr="00132339" w:rsidRDefault="00132339" w:rsidP="00132339">
      <w:pPr>
        <w:shd w:val="clear" w:color="auto" w:fill="FFFFFF"/>
        <w:spacing w:after="180" w:line="270" w:lineRule="atLeast"/>
        <w:rPr>
          <w:rFonts w:eastAsia="Times New Roman"/>
          <w:color w:val="3F3F3F"/>
        </w:rPr>
      </w:pPr>
      <w:r w:rsidRPr="00132339">
        <w:rPr>
          <w:rFonts w:eastAsia="Times New Roman"/>
          <w:color w:val="3F3F3F"/>
        </w:rPr>
        <w:t>Unternehmen mit Standbein in Kanada könnten dank der in CETA enthaltenen Investitionsschutzregelungen gegen Gesetze der EU-Länder juristisch vorgehen, selbst wenn TTIP verhindert wird. Und ebenso wie bei TTIP geschieht alles unter Ausschluss der Öffentlichkeit, die Inhalte des 1.500 Seiten umfassenden Hande</w:t>
      </w:r>
      <w:r>
        <w:rPr>
          <w:rFonts w:eastAsia="Times New Roman"/>
          <w:color w:val="3F3F3F"/>
        </w:rPr>
        <w:t>l</w:t>
      </w:r>
      <w:r w:rsidRPr="00132339">
        <w:rPr>
          <w:rFonts w:eastAsia="Times New Roman"/>
          <w:color w:val="3F3F3F"/>
        </w:rPr>
        <w:t xml:space="preserve">sabkommens sind geheim. </w:t>
      </w:r>
    </w:p>
    <w:p w:rsidR="00132339" w:rsidRPr="00132339" w:rsidRDefault="00132339" w:rsidP="00132339">
      <w:pPr>
        <w:shd w:val="clear" w:color="auto" w:fill="FFFFFF"/>
        <w:spacing w:before="150" w:after="180" w:line="288" w:lineRule="atLeast"/>
        <w:outlineLvl w:val="2"/>
        <w:rPr>
          <w:rFonts w:eastAsia="Times New Roman"/>
          <w:b/>
          <w:bCs/>
          <w:caps/>
          <w:color w:val="3F3F3F"/>
        </w:rPr>
      </w:pPr>
      <w:r w:rsidRPr="00132339">
        <w:rPr>
          <w:rFonts w:eastAsia="Times New Roman"/>
          <w:b/>
          <w:bCs/>
          <w:caps/>
          <w:color w:val="3F3F3F"/>
        </w:rPr>
        <w:t>VERTRAGSENTWURF LIEGT NUN VOR</w:t>
      </w:r>
    </w:p>
    <w:p w:rsidR="00132339" w:rsidRPr="00132339" w:rsidRDefault="00132339" w:rsidP="00132339">
      <w:pPr>
        <w:shd w:val="clear" w:color="auto" w:fill="FFFFFF"/>
        <w:spacing w:after="180" w:line="270" w:lineRule="atLeast"/>
        <w:rPr>
          <w:rFonts w:eastAsia="Times New Roman"/>
          <w:color w:val="3F3F3F"/>
        </w:rPr>
      </w:pPr>
      <w:r w:rsidRPr="00132339">
        <w:rPr>
          <w:rFonts w:eastAsia="Times New Roman"/>
          <w:color w:val="3F3F3F"/>
        </w:rPr>
        <w:t xml:space="preserve">Am 5. August 2014 erhielt der Nationalrat nun den CETA-Vertragsentwurf – inklusive der Investitionsschutz-Klauseln für Investoren, </w:t>
      </w:r>
      <w:hyperlink r:id="rId8" w:tgtFrame="_blank" w:history="1">
        <w:r w:rsidRPr="00132339">
          <w:rPr>
            <w:rFonts w:eastAsia="Times New Roman"/>
          </w:rPr>
          <w:t>​mit denen Konzerne wie bei TTIP Staaten wegen Profitausfalls verklagen können</w:t>
        </w:r>
      </w:hyperlink>
      <w:r w:rsidRPr="00132339">
        <w:rPr>
          <w:rFonts w:eastAsia="Times New Roman"/>
        </w:rPr>
        <w:t xml:space="preserve">. </w:t>
      </w:r>
      <w:r w:rsidRPr="00132339">
        <w:rPr>
          <w:rFonts w:eastAsia="Times New Roman"/>
          <w:color w:val="3F3F3F"/>
        </w:rPr>
        <w:t xml:space="preserve">Dabei verfügen sowohl die EU als auch Kanada über hochentwickelte Justizsysteme, an die sich auch Unternehmen wenden können. Insofern sind diese Sonderklagsrechte für Konzerne mehr als überflüssig. </w:t>
      </w:r>
    </w:p>
    <w:p w:rsidR="00657435" w:rsidRPr="00132339" w:rsidRDefault="00657435">
      <w:bookmarkStart w:id="0" w:name="_GoBack"/>
      <w:bookmarkEnd w:id="0"/>
    </w:p>
    <w:p w:rsidR="00132339" w:rsidRPr="00132339" w:rsidRDefault="00132339"/>
    <w:sectPr w:rsidR="00132339" w:rsidRPr="0013233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3in;height:3in" o:bullet="t"/>
    </w:pict>
  </w:numPicBullet>
  <w:abstractNum w:abstractNumId="0">
    <w:nsid w:val="42840998"/>
    <w:multiLevelType w:val="multilevel"/>
    <w:tmpl w:val="89248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339"/>
    <w:rsid w:val="00132339"/>
    <w:rsid w:val="00657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rFonts w:ascii="Times New Roman" w:eastAsia="Batang" w:hAnsi="Times New Roman" w:cs="Times New Roman"/>
      <w:sz w:val="20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4"/>
        <w:szCs w:val="24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rFonts w:ascii="Times New Roman" w:eastAsia="Batang" w:hAnsi="Times New Roman" w:cs="Times New Roman"/>
      <w:sz w:val="20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646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33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978442">
              <w:marLeft w:val="0"/>
              <w:marRight w:val="-7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36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016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0196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1510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2673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7907287">
                                      <w:marLeft w:val="0"/>
                                      <w:marRight w:val="75"/>
                                      <w:marTop w:val="75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521182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82915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50590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3541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85466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92799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95108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ruene.at/themen/europa/ttip-was-ist-das-eigentlich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gruene.at/themen/europa/ttip-was-ist-das-eigentlic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e.wikipedia.org/wiki/Comprehensive_Economic_and_Trade_Agreement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78C99FE4.dotm</Template>
  <TotalTime>0</TotalTime>
  <Pages>1</Pages>
  <Words>198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DIOGRZ</Company>
  <LinksUpToDate>false</LinksUpToDate>
  <CharactersWithSpaces>1447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master</cp:lastModifiedBy>
  <cp:revision>1</cp:revision>
  <dcterms:created xsi:type="dcterms:W3CDTF">2017-01-23T07:45:00Z</dcterms:created>
  <dcterms:modified xsi:type="dcterms:W3CDTF">2017-01-23T07:47:00Z</dcterms:modified>
</cp:coreProperties>
</file>